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2C1AE" w14:textId="135A40C9" w:rsidR="005F6B2A" w:rsidRPr="00277B1B" w:rsidRDefault="00C74F0E" w:rsidP="00C74F0E">
      <w:pPr>
        <w:ind w:firstLineChars="100" w:firstLine="210"/>
        <w:jc w:val="center"/>
        <w:rPr>
          <w:b/>
          <w:bCs/>
        </w:rPr>
      </w:pPr>
      <w:r w:rsidRPr="00277B1B">
        <w:rPr>
          <w:rFonts w:hint="eastAsia"/>
          <w:b/>
          <w:bCs/>
        </w:rPr>
        <w:t>新型コロナウイルス下における主要レジャー施設の財務諸表分析</w:t>
      </w:r>
    </w:p>
    <w:p w14:paraId="020A35FC" w14:textId="61DDB42C" w:rsidR="00C74F0E" w:rsidRPr="00277B1B" w:rsidRDefault="00FD4310" w:rsidP="00C74F0E">
      <w:pPr>
        <w:ind w:firstLineChars="100" w:firstLine="210"/>
        <w:jc w:val="center"/>
        <w:rPr>
          <w:b/>
          <w:bCs/>
        </w:rPr>
      </w:pPr>
      <w:r>
        <w:rPr>
          <w:rFonts w:hint="eastAsia"/>
          <w:b/>
          <w:bCs/>
        </w:rPr>
        <w:t>―</w:t>
      </w:r>
      <w:r w:rsidR="00C74F0E" w:rsidRPr="00277B1B">
        <w:rPr>
          <w:rFonts w:hint="eastAsia"/>
          <w:b/>
          <w:bCs/>
        </w:rPr>
        <w:t>テーマパークを題材としたレジャー企業の</w:t>
      </w:r>
      <w:r w:rsidR="00E841D4">
        <w:rPr>
          <w:rFonts w:hint="eastAsia"/>
          <w:b/>
          <w:bCs/>
        </w:rPr>
        <w:t>財務</w:t>
      </w:r>
      <w:r w:rsidR="00C74F0E" w:rsidRPr="00277B1B">
        <w:rPr>
          <w:rFonts w:hint="eastAsia"/>
          <w:b/>
          <w:bCs/>
        </w:rPr>
        <w:t>安全性に関する実証分析</w:t>
      </w:r>
      <w:r>
        <w:rPr>
          <w:rFonts w:hint="eastAsia"/>
          <w:b/>
          <w:bCs/>
        </w:rPr>
        <w:t>―</w:t>
      </w:r>
    </w:p>
    <w:p w14:paraId="29A45F2C" w14:textId="6A9501C0" w:rsidR="00C74F0E" w:rsidRDefault="00C74F0E" w:rsidP="00B44B6D">
      <w:pPr>
        <w:ind w:firstLineChars="100" w:firstLine="210"/>
        <w:rPr>
          <w:b/>
          <w:bCs/>
        </w:rPr>
      </w:pPr>
    </w:p>
    <w:p w14:paraId="717114DD" w14:textId="0A63E24E" w:rsidR="00FD4310" w:rsidRDefault="00FD4310" w:rsidP="00FD4310">
      <w:pPr>
        <w:ind w:firstLineChars="100" w:firstLine="210"/>
        <w:jc w:val="right"/>
        <w:rPr>
          <w:b/>
          <w:bCs/>
        </w:rPr>
      </w:pPr>
      <w:r>
        <w:rPr>
          <w:rFonts w:hint="eastAsia"/>
          <w:b/>
          <w:bCs/>
        </w:rPr>
        <w:t>中村俊紀</w:t>
      </w:r>
      <w:r>
        <w:rPr>
          <w:rStyle w:val="af0"/>
          <w:b/>
          <w:bCs/>
        </w:rPr>
        <w:footnoteReference w:id="1"/>
      </w:r>
    </w:p>
    <w:p w14:paraId="26F2BA91" w14:textId="4C6A9860" w:rsidR="00FD4310" w:rsidRDefault="00FD4310" w:rsidP="00FD4310">
      <w:pPr>
        <w:rPr>
          <w:rFonts w:hint="eastAsia"/>
          <w:b/>
          <w:bCs/>
        </w:rPr>
      </w:pPr>
      <w:r>
        <w:rPr>
          <w:rFonts w:hint="eastAsia"/>
          <w:b/>
          <w:bCs/>
        </w:rPr>
        <w:t>A</w:t>
      </w:r>
      <w:r>
        <w:rPr>
          <w:b/>
          <w:bCs/>
        </w:rPr>
        <w:t>bstract</w:t>
      </w:r>
    </w:p>
    <w:p w14:paraId="5F6D77BE" w14:textId="3E1B3686" w:rsidR="00FD4310" w:rsidRPr="00FD4310" w:rsidRDefault="00FD4310" w:rsidP="00FD4310">
      <w:pPr>
        <w:rPr>
          <w:rFonts w:hint="eastAsia"/>
        </w:rPr>
      </w:pPr>
      <w:r w:rsidRPr="00FD4310">
        <w:rPr>
          <w:rFonts w:hint="eastAsia"/>
        </w:rPr>
        <w:t xml:space="preserve">　</w:t>
      </w:r>
      <w:r w:rsidRPr="00FD4310">
        <w:t xml:space="preserve"> </w:t>
      </w:r>
    </w:p>
    <w:p w14:paraId="25C1FF93" w14:textId="77777777" w:rsidR="00FD4310" w:rsidRPr="00277B1B" w:rsidRDefault="00FD4310" w:rsidP="00FD4310">
      <w:pPr>
        <w:rPr>
          <w:rFonts w:hint="eastAsia"/>
          <w:b/>
          <w:bCs/>
        </w:rPr>
      </w:pPr>
    </w:p>
    <w:p w14:paraId="6B7D0E65" w14:textId="4F9A22CB" w:rsidR="00B44B6D" w:rsidRPr="00720ED7" w:rsidRDefault="00F70847" w:rsidP="00720ED7">
      <w:pPr>
        <w:rPr>
          <w:b/>
          <w:bCs/>
        </w:rPr>
      </w:pPr>
      <w:r>
        <w:rPr>
          <w:rFonts w:hint="eastAsia"/>
          <w:b/>
          <w:bCs/>
        </w:rPr>
        <w:t>1</w:t>
      </w:r>
      <w:r w:rsidR="00B74F75">
        <w:rPr>
          <w:rFonts w:hint="eastAsia"/>
          <w:b/>
          <w:bCs/>
        </w:rPr>
        <w:t>．</w:t>
      </w:r>
      <w:r>
        <w:rPr>
          <w:rFonts w:hint="eastAsia"/>
          <w:b/>
          <w:bCs/>
        </w:rPr>
        <w:t>はじめに</w:t>
      </w:r>
      <w:r w:rsidR="00686F3F" w:rsidRPr="00720ED7">
        <w:rPr>
          <w:b/>
          <w:bCs/>
        </w:rPr>
        <w:t xml:space="preserve"> </w:t>
      </w:r>
    </w:p>
    <w:p w14:paraId="379E1EE5" w14:textId="2CA54353" w:rsidR="00B44B6D" w:rsidRDefault="00B44B6D" w:rsidP="00B44B6D">
      <w:pPr>
        <w:ind w:firstLineChars="100" w:firstLine="210"/>
      </w:pPr>
      <w:r>
        <w:rPr>
          <w:rFonts w:hint="eastAsia"/>
        </w:rPr>
        <w:t>新型コロナウイルス感染拡大に伴い、日本各地のテーマパークや遊園地は</w:t>
      </w:r>
      <w:r w:rsidR="002F2A34">
        <w:rPr>
          <w:rFonts w:hint="eastAsia"/>
        </w:rPr>
        <w:t>休業や休園に追い込まれ</w:t>
      </w:r>
      <w:r>
        <w:rPr>
          <w:rFonts w:hint="eastAsia"/>
        </w:rPr>
        <w:t>、</w:t>
      </w:r>
      <w:r w:rsidR="002F2A34">
        <w:rPr>
          <w:rFonts w:hint="eastAsia"/>
        </w:rPr>
        <w:t>現在もなお入場者を規制して営業が行われている。</w:t>
      </w:r>
      <w:r>
        <w:rPr>
          <w:rFonts w:hint="eastAsia"/>
        </w:rPr>
        <w:t>これらレジャー施設の事業売上は、入場者数（来場者数）と</w:t>
      </w:r>
      <w:r w:rsidR="00C74F0E">
        <w:rPr>
          <w:rFonts w:hint="eastAsia"/>
        </w:rPr>
        <w:t>顧</w:t>
      </w:r>
      <w:r>
        <w:rPr>
          <w:rFonts w:hint="eastAsia"/>
        </w:rPr>
        <w:t>客単価に依存しており、少しの</w:t>
      </w:r>
      <w:r w:rsidR="002F2A34">
        <w:rPr>
          <w:rFonts w:hint="eastAsia"/>
        </w:rPr>
        <w:t>休業でも</w:t>
      </w:r>
      <w:r>
        <w:rPr>
          <w:rFonts w:hint="eastAsia"/>
        </w:rPr>
        <w:t>企業の経済活動に対する影響は大きく、長期休業の意思決定を迅速に行うことは容易ではない。</w:t>
      </w:r>
    </w:p>
    <w:p w14:paraId="481407BD" w14:textId="6EC1F723" w:rsidR="002F2A34" w:rsidRDefault="00B44B6D" w:rsidP="002F2A34">
      <w:pPr>
        <w:ind w:firstLineChars="100" w:firstLine="210"/>
      </w:pPr>
      <w:r>
        <w:rPr>
          <w:rFonts w:hint="eastAsia"/>
        </w:rPr>
        <w:t>しかし、東京ディズニーリゾートを運営するオリエンタルランド</w:t>
      </w:r>
      <w:r w:rsidR="00C811AD">
        <w:rPr>
          <w:rFonts w:hint="eastAsia"/>
        </w:rPr>
        <w:t>社</w:t>
      </w:r>
      <w:r w:rsidR="00FD1186">
        <w:rPr>
          <w:rFonts w:hint="eastAsia"/>
        </w:rPr>
        <w:t>（以下、O</w:t>
      </w:r>
      <w:r w:rsidR="00FD1186">
        <w:t>LC</w:t>
      </w:r>
      <w:r w:rsidR="00FD1186">
        <w:rPr>
          <w:rFonts w:hint="eastAsia"/>
        </w:rPr>
        <w:t>）</w:t>
      </w:r>
      <w:r>
        <w:rPr>
          <w:rFonts w:hint="eastAsia"/>
        </w:rPr>
        <w:t>は、いち早く臨時休業をスタートし</w:t>
      </w:r>
      <w:r w:rsidR="006B132C">
        <w:rPr>
          <w:rFonts w:hint="eastAsia"/>
        </w:rPr>
        <w:t>た。</w:t>
      </w:r>
      <w:r w:rsidR="002F2A34">
        <w:rPr>
          <w:rFonts w:hint="eastAsia"/>
        </w:rPr>
        <w:t>巨大リゾート施設にもかかわらず、こうした長期休業の意思決定を迅速に行うことができる背景には、他のレジャー施設とは異な</w:t>
      </w:r>
      <w:r w:rsidR="0032261E">
        <w:rPr>
          <w:rFonts w:hint="eastAsia"/>
        </w:rPr>
        <w:t>る</w:t>
      </w:r>
      <w:r w:rsidR="002F2A34">
        <w:rPr>
          <w:rFonts w:hint="eastAsia"/>
        </w:rPr>
        <w:t>財政状態、特にキャッシュフローに特徴があると考えられる。</w:t>
      </w:r>
    </w:p>
    <w:p w14:paraId="4379C19D" w14:textId="1481011C" w:rsidR="002F2A34" w:rsidRDefault="00C74F0E" w:rsidP="002F2A34">
      <w:pPr>
        <w:ind w:firstLineChars="100" w:firstLine="210"/>
      </w:pPr>
      <w:r>
        <w:rPr>
          <w:rFonts w:hint="eastAsia"/>
        </w:rPr>
        <w:t>本稿</w:t>
      </w:r>
      <w:r w:rsidR="006B132C">
        <w:rPr>
          <w:rFonts w:hint="eastAsia"/>
        </w:rPr>
        <w:t>では、テーマパークや遊園地を運営する企業の財務諸表分析を行</w:t>
      </w:r>
      <w:r w:rsidR="005F6B2A">
        <w:rPr>
          <w:rFonts w:hint="eastAsia"/>
        </w:rPr>
        <w:t>い、</w:t>
      </w:r>
      <w:r w:rsidR="00FD1186">
        <w:rPr>
          <w:rFonts w:hint="eastAsia"/>
        </w:rPr>
        <w:t>新型コロナウイルス下における</w:t>
      </w:r>
      <w:r w:rsidR="005F6B2A">
        <w:rPr>
          <w:rFonts w:hint="eastAsia"/>
        </w:rPr>
        <w:t>巨大レジャー施設の経営状態について明らかに</w:t>
      </w:r>
      <w:r w:rsidR="007E008C">
        <w:rPr>
          <w:rFonts w:hint="eastAsia"/>
        </w:rPr>
        <w:t>していく</w:t>
      </w:r>
      <w:r w:rsidR="005F6B2A">
        <w:rPr>
          <w:rFonts w:hint="eastAsia"/>
        </w:rPr>
        <w:t>。</w:t>
      </w:r>
    </w:p>
    <w:p w14:paraId="310589B7" w14:textId="2B214A50" w:rsidR="006B132C" w:rsidRDefault="00C74F0E" w:rsidP="002F2A34">
      <w:pPr>
        <w:ind w:firstLineChars="100" w:firstLine="210"/>
      </w:pPr>
      <w:r>
        <w:rPr>
          <w:rFonts w:hint="eastAsia"/>
        </w:rPr>
        <w:t>本稿</w:t>
      </w:r>
      <w:r w:rsidR="006B132C">
        <w:rPr>
          <w:rFonts w:hint="eastAsia"/>
        </w:rPr>
        <w:t>の構成は次のとおりである。まず、東京ディズニーリゾートを運営するオリエンタルランド</w:t>
      </w:r>
      <w:r w:rsidR="00C811AD">
        <w:rPr>
          <w:rFonts w:hint="eastAsia"/>
        </w:rPr>
        <w:t>社</w:t>
      </w:r>
      <w:r w:rsidR="006B132C">
        <w:rPr>
          <w:rFonts w:hint="eastAsia"/>
        </w:rPr>
        <w:t>の事業内容を説明し、</w:t>
      </w:r>
      <w:r w:rsidR="006B132C">
        <w:t>IR</w:t>
      </w:r>
      <w:r w:rsidR="006B132C">
        <w:rPr>
          <w:rFonts w:hint="eastAsia"/>
        </w:rPr>
        <w:t>情報を用いて財務諸表分析を行う。次に、その他のテーマパークや遊園地を取り上げ、財務諸表の比較分析を行う。最後に、レジャー施設の経営において、財政状態の健全性の観点から、キャッシュフローの重要性について考察</w:t>
      </w:r>
      <w:r w:rsidR="00A1127F">
        <w:rPr>
          <w:rFonts w:hint="eastAsia"/>
        </w:rPr>
        <w:t>する。</w:t>
      </w:r>
    </w:p>
    <w:p w14:paraId="3C80F79D" w14:textId="77777777" w:rsidR="006B132C" w:rsidRDefault="006B132C" w:rsidP="005F6B2A"/>
    <w:p w14:paraId="3AA81C79" w14:textId="2CF2A056" w:rsidR="005F6B2A" w:rsidRPr="00720ED7" w:rsidRDefault="002573EA" w:rsidP="005F6B2A">
      <w:pPr>
        <w:rPr>
          <w:b/>
          <w:bCs/>
        </w:rPr>
      </w:pPr>
      <w:r>
        <w:rPr>
          <w:rFonts w:hint="eastAsia"/>
          <w:b/>
          <w:bCs/>
        </w:rPr>
        <w:t>2</w:t>
      </w:r>
      <w:r w:rsidR="005F6B2A" w:rsidRPr="00720ED7">
        <w:rPr>
          <w:rFonts w:hint="eastAsia"/>
          <w:b/>
          <w:bCs/>
        </w:rPr>
        <w:t>．オリエンタルランド社の</w:t>
      </w:r>
      <w:r w:rsidR="00CC554F">
        <w:rPr>
          <w:rFonts w:hint="eastAsia"/>
          <w:b/>
          <w:bCs/>
        </w:rPr>
        <w:t>財務諸表</w:t>
      </w:r>
      <w:r w:rsidR="005F6B2A" w:rsidRPr="00720ED7">
        <w:rPr>
          <w:rFonts w:hint="eastAsia"/>
          <w:b/>
          <w:bCs/>
        </w:rPr>
        <w:t>分析</w:t>
      </w:r>
    </w:p>
    <w:p w14:paraId="5E593103" w14:textId="4A402901" w:rsidR="00C811AD" w:rsidRDefault="00C811AD" w:rsidP="005F6B2A">
      <w:r>
        <w:rPr>
          <w:rFonts w:hint="eastAsia"/>
        </w:rPr>
        <w:t xml:space="preserve">　本章では、</w:t>
      </w:r>
      <w:r w:rsidR="00A1127F">
        <w:rPr>
          <w:rFonts w:hint="eastAsia"/>
        </w:rPr>
        <w:t>オリエンタルランド社</w:t>
      </w:r>
      <w:r>
        <w:rPr>
          <w:rFonts w:hint="eastAsia"/>
        </w:rPr>
        <w:t>の事業</w:t>
      </w:r>
      <w:r w:rsidR="00776590">
        <w:rPr>
          <w:rFonts w:hint="eastAsia"/>
        </w:rPr>
        <w:t>内容を確認し、有価証券報告書と四半期報告書を用いて財務諸表分析を行う。具体的</w:t>
      </w:r>
      <w:r w:rsidR="0012638A">
        <w:rPr>
          <w:rFonts w:hint="eastAsia"/>
        </w:rPr>
        <w:t>には</w:t>
      </w:r>
      <w:r w:rsidR="004A343F">
        <w:rPr>
          <w:rFonts w:hint="eastAsia"/>
        </w:rPr>
        <w:t>、</w:t>
      </w:r>
      <w:r w:rsidR="00A64489">
        <w:rPr>
          <w:rFonts w:hint="eastAsia"/>
        </w:rPr>
        <w:t>企業の財務上の支払い能力を測定する安全性分析の観点から、</w:t>
      </w:r>
      <w:r w:rsidR="000214C0">
        <w:rPr>
          <w:rFonts w:hint="eastAsia"/>
        </w:rPr>
        <w:t>OLC</w:t>
      </w:r>
      <w:r w:rsidR="00A64489">
        <w:rPr>
          <w:rFonts w:hint="eastAsia"/>
        </w:rPr>
        <w:t>の財政健全性を考察する</w:t>
      </w:r>
      <w:r w:rsidR="004A343F">
        <w:rPr>
          <w:rFonts w:hint="eastAsia"/>
        </w:rPr>
        <w:t>。</w:t>
      </w:r>
      <w:r w:rsidR="008B2DFF">
        <w:rPr>
          <w:rFonts w:hint="eastAsia"/>
        </w:rPr>
        <w:t>また、本稿では</w:t>
      </w:r>
      <w:r w:rsidR="00776590">
        <w:rPr>
          <w:rFonts w:hint="eastAsia"/>
        </w:rPr>
        <w:t>新型コロナウイルスの</w:t>
      </w:r>
      <w:r w:rsidR="004A343F">
        <w:rPr>
          <w:rFonts w:hint="eastAsia"/>
        </w:rPr>
        <w:t>影響を</w:t>
      </w:r>
      <w:r w:rsidR="008B2DFF">
        <w:rPr>
          <w:rFonts w:hint="eastAsia"/>
        </w:rPr>
        <w:t>把握することを目的としているため、分析期間は2018年から2020年の３年間とし、主に直近の四半期報告書のデータを活用して財務分析を行う。</w:t>
      </w:r>
    </w:p>
    <w:p w14:paraId="1EBA1EE0" w14:textId="77777777" w:rsidR="00C811AD" w:rsidRDefault="00C811AD" w:rsidP="005F6B2A"/>
    <w:p w14:paraId="653F4898" w14:textId="6B93DA31" w:rsidR="005F6B2A" w:rsidRPr="00720ED7" w:rsidRDefault="002573EA" w:rsidP="005F6B2A">
      <w:pPr>
        <w:rPr>
          <w:b/>
          <w:bCs/>
        </w:rPr>
      </w:pPr>
      <w:r>
        <w:rPr>
          <w:rFonts w:ascii="Cambria" w:hAnsi="Cambria" w:cs="Cambria" w:hint="eastAsia"/>
          <w:b/>
          <w:bCs/>
        </w:rPr>
        <w:t>2</w:t>
      </w:r>
      <w:r w:rsidR="00C01BB9">
        <w:rPr>
          <w:rFonts w:hint="eastAsia"/>
          <w:b/>
          <w:bCs/>
        </w:rPr>
        <w:t>－</w:t>
      </w:r>
      <w:r w:rsidR="00C01BB9">
        <w:rPr>
          <w:rFonts w:ascii="Cambria" w:hAnsi="Cambria" w:cs="Cambria" w:hint="eastAsia"/>
          <w:b/>
          <w:bCs/>
        </w:rPr>
        <w:t>1</w:t>
      </w:r>
      <w:r w:rsidR="005F6B2A" w:rsidRPr="00720ED7">
        <w:rPr>
          <w:rFonts w:hint="eastAsia"/>
          <w:b/>
          <w:bCs/>
        </w:rPr>
        <w:t>．オリエンタルランド社の事業</w:t>
      </w:r>
      <w:r w:rsidR="00C01BB9">
        <w:rPr>
          <w:rFonts w:hint="eastAsia"/>
          <w:b/>
          <w:bCs/>
        </w:rPr>
        <w:t>内容</w:t>
      </w:r>
      <w:r w:rsidR="005F6B2A" w:rsidRPr="00720ED7">
        <w:rPr>
          <w:rFonts w:hint="eastAsia"/>
          <w:b/>
          <w:bCs/>
        </w:rPr>
        <w:t>：東京ディズニーリゾート</w:t>
      </w:r>
    </w:p>
    <w:p w14:paraId="47D0EB86" w14:textId="3A52894B" w:rsidR="005F6B2A" w:rsidRDefault="005F6B2A" w:rsidP="005F6B2A">
      <w:r>
        <w:rPr>
          <w:rFonts w:hint="eastAsia"/>
        </w:rPr>
        <w:t xml:space="preserve">　オリエンタルランド社</w:t>
      </w:r>
      <w:r w:rsidR="00DF1BDA">
        <w:rPr>
          <w:rFonts w:hint="eastAsia"/>
        </w:rPr>
        <w:t>（O</w:t>
      </w:r>
      <w:r w:rsidR="00DF1BDA">
        <w:t>LC</w:t>
      </w:r>
      <w:r w:rsidR="00DF1BDA">
        <w:rPr>
          <w:rFonts w:hint="eastAsia"/>
        </w:rPr>
        <w:t>）</w:t>
      </w:r>
      <w:r>
        <w:rPr>
          <w:rFonts w:hint="eastAsia"/>
        </w:rPr>
        <w:t>は</w:t>
      </w:r>
      <w:r w:rsidR="00C811AD">
        <w:rPr>
          <w:rFonts w:hint="eastAsia"/>
        </w:rPr>
        <w:t>、米国ウォルト・ディズニー社とのライセンス契約により</w:t>
      </w:r>
      <w:r>
        <w:rPr>
          <w:rFonts w:hint="eastAsia"/>
        </w:rPr>
        <w:t>、</w:t>
      </w:r>
      <w:r w:rsidR="00C811AD">
        <w:rPr>
          <w:rFonts w:hint="eastAsia"/>
        </w:rPr>
        <w:t>東京ディズニーランド（</w:t>
      </w:r>
      <w:r w:rsidR="00C811AD">
        <w:t>TDL</w:t>
      </w:r>
      <w:r w:rsidR="00C811AD">
        <w:rPr>
          <w:rFonts w:hint="eastAsia"/>
        </w:rPr>
        <w:t>）や東京ディズニーシー（</w:t>
      </w:r>
      <w:r w:rsidR="00C811AD">
        <w:t>TDS</w:t>
      </w:r>
      <w:r w:rsidR="00C811AD">
        <w:rPr>
          <w:rFonts w:hint="eastAsia"/>
        </w:rPr>
        <w:t>）など、ディズニー関連事業を中心に東京ディズニーリゾート（</w:t>
      </w:r>
      <w:r w:rsidR="00C811AD">
        <w:t>TDR</w:t>
      </w:r>
      <w:r w:rsidR="00C811AD">
        <w:rPr>
          <w:rFonts w:hint="eastAsia"/>
        </w:rPr>
        <w:t>）を運営している。</w:t>
      </w:r>
      <w:r w:rsidR="00D37310">
        <w:rPr>
          <w:rFonts w:hint="eastAsia"/>
        </w:rPr>
        <w:t>この東京ディズニーリゾー</w:t>
      </w:r>
      <w:r w:rsidR="00D37310">
        <w:rPr>
          <w:rFonts w:hint="eastAsia"/>
        </w:rPr>
        <w:lastRenderedPageBreak/>
        <w:t>トは、テーマパーク事業を中心に、３つの事業セグメントに分類される。</w:t>
      </w:r>
    </w:p>
    <w:p w14:paraId="34E85AA2" w14:textId="77777777" w:rsidR="0028600C" w:rsidRDefault="00D37310" w:rsidP="0028600C">
      <w:pPr>
        <w:ind w:firstLineChars="150" w:firstLine="315"/>
      </w:pPr>
      <w:r>
        <w:t>(</w:t>
      </w:r>
      <w:r>
        <w:rPr>
          <w:rFonts w:hint="eastAsia"/>
        </w:rPr>
        <w:t>a</w:t>
      </w:r>
      <w:r>
        <w:t>)</w:t>
      </w:r>
      <w:r w:rsidR="0028600C">
        <w:rPr>
          <w:rFonts w:hint="eastAsia"/>
        </w:rPr>
        <w:t>．</w:t>
      </w:r>
      <w:r>
        <w:rPr>
          <w:rFonts w:hint="eastAsia"/>
        </w:rPr>
        <w:t>テーマパーク事業</w:t>
      </w:r>
    </w:p>
    <w:p w14:paraId="50E9C25B" w14:textId="77777777" w:rsidR="0028600C" w:rsidRDefault="00D37310" w:rsidP="0028600C">
      <w:pPr>
        <w:ind w:firstLineChars="150" w:firstLine="315"/>
      </w:pPr>
      <w:r>
        <w:t>(</w:t>
      </w:r>
      <w:r>
        <w:rPr>
          <w:rFonts w:hint="eastAsia"/>
        </w:rPr>
        <w:t>b</w:t>
      </w:r>
      <w:r>
        <w:t>)</w:t>
      </w:r>
      <w:r w:rsidR="0028600C">
        <w:rPr>
          <w:rFonts w:hint="eastAsia"/>
        </w:rPr>
        <w:t>．</w:t>
      </w:r>
      <w:r>
        <w:rPr>
          <w:rFonts w:hint="eastAsia"/>
        </w:rPr>
        <w:t>ホテル事業</w:t>
      </w:r>
    </w:p>
    <w:p w14:paraId="32D1FE2B" w14:textId="77777777" w:rsidR="00D37310" w:rsidRDefault="00D37310" w:rsidP="0028600C">
      <w:pPr>
        <w:ind w:firstLineChars="150" w:firstLine="315"/>
      </w:pPr>
      <w:r>
        <w:t>(</w:t>
      </w:r>
      <w:r>
        <w:rPr>
          <w:rFonts w:hint="eastAsia"/>
        </w:rPr>
        <w:t>c</w:t>
      </w:r>
      <w:r>
        <w:t>)</w:t>
      </w:r>
      <w:r w:rsidR="0028600C">
        <w:rPr>
          <w:rFonts w:hint="eastAsia"/>
        </w:rPr>
        <w:t>．</w:t>
      </w:r>
      <w:r>
        <w:rPr>
          <w:rFonts w:hint="eastAsia"/>
        </w:rPr>
        <w:t>その他の事業</w:t>
      </w:r>
    </w:p>
    <w:p w14:paraId="3D107AAF" w14:textId="77777777" w:rsidR="00A71746" w:rsidRDefault="00D37310" w:rsidP="00A71746">
      <w:r>
        <w:rPr>
          <w:rFonts w:hint="eastAsia"/>
        </w:rPr>
        <w:t xml:space="preserve">　テーマパーク事業は、東京ディズニーランドと東京ディズニーシーの</w:t>
      </w:r>
      <w:r w:rsidR="00A71746">
        <w:rPr>
          <w:rFonts w:hint="eastAsia"/>
        </w:rPr>
        <w:t>２つであり、連結売上高の８割を占める主力セグメントである。ホテル事業は、ミリアルリゾートホテルが運営するディズニーホテルの３施設、その子会社のブライトンコーポレーションが経営するホテルの４施設、合計７施設から構成されている。その他の事業は、舞浜駅前に位置する商業施設「イクスピアリ」、リゾート内を走るモノレール「ディズニーリゾートライン」などで構成されている。</w:t>
      </w:r>
    </w:p>
    <w:p w14:paraId="3C3F54DB" w14:textId="1F4783FF" w:rsidR="00686F3F" w:rsidRDefault="0032261E" w:rsidP="00A71746">
      <w:pPr>
        <w:ind w:firstLineChars="100" w:firstLine="210"/>
      </w:pPr>
      <w:r>
        <w:rPr>
          <w:rFonts w:hint="eastAsia"/>
        </w:rPr>
        <w:t>こ</w:t>
      </w:r>
      <w:r w:rsidR="003673CF">
        <w:rPr>
          <w:rFonts w:hint="eastAsia"/>
        </w:rPr>
        <w:t>の</w:t>
      </w:r>
      <w:r w:rsidR="009068B1">
        <w:rPr>
          <w:rFonts w:hint="eastAsia"/>
        </w:rPr>
        <w:t>ように、</w:t>
      </w:r>
      <w:r w:rsidR="00A83197">
        <w:rPr>
          <w:rFonts w:hint="eastAsia"/>
        </w:rPr>
        <w:t>東京ディズニーリゾートは</w:t>
      </w:r>
      <w:r w:rsidR="009068B1">
        <w:rPr>
          <w:rFonts w:hint="eastAsia"/>
        </w:rPr>
        <w:t>一</w:t>
      </w:r>
      <w:r w:rsidR="00383222">
        <w:rPr>
          <w:rFonts w:hint="eastAsia"/>
        </w:rPr>
        <w:t>大テーマリゾート</w:t>
      </w:r>
      <w:r w:rsidR="009068B1">
        <w:rPr>
          <w:rFonts w:hint="eastAsia"/>
        </w:rPr>
        <w:t>であり、テーマパークのみならず、その周辺事業もまた緻密に</w:t>
      </w:r>
      <w:r w:rsidR="003673CF">
        <w:rPr>
          <w:rFonts w:hint="eastAsia"/>
        </w:rPr>
        <w:t>計画して運営されている。</w:t>
      </w:r>
      <w:r>
        <w:rPr>
          <w:rFonts w:hint="eastAsia"/>
        </w:rPr>
        <w:t>そして、</w:t>
      </w:r>
      <w:r w:rsidR="003673CF">
        <w:rPr>
          <w:rFonts w:hint="eastAsia"/>
        </w:rPr>
        <w:t>今回の新型コロナウイルス感染拡大に伴う</w:t>
      </w:r>
      <w:r w:rsidR="009068B1">
        <w:rPr>
          <w:rFonts w:hint="eastAsia"/>
        </w:rPr>
        <w:t>休業</w:t>
      </w:r>
      <w:r w:rsidR="003673CF">
        <w:rPr>
          <w:rFonts w:hint="eastAsia"/>
        </w:rPr>
        <w:t>措置は</w:t>
      </w:r>
      <w:r>
        <w:rPr>
          <w:rFonts w:hint="eastAsia"/>
        </w:rPr>
        <w:t>、東京ディズニーリゾートの全体の事業活動を停止することを意味しており、巨大レジャー施設であるがゆえ、財務状態の懸念が浮び上がる。</w:t>
      </w:r>
      <w:r w:rsidR="00720ED7">
        <w:rPr>
          <w:rFonts w:hint="eastAsia"/>
        </w:rPr>
        <w:t>そこで、以下では、</w:t>
      </w:r>
      <w:r w:rsidR="000214C0">
        <w:rPr>
          <w:rFonts w:hint="eastAsia"/>
        </w:rPr>
        <w:t>OLC</w:t>
      </w:r>
      <w:r w:rsidR="00720ED7">
        <w:rPr>
          <w:rFonts w:hint="eastAsia"/>
        </w:rPr>
        <w:t>の財務諸表より</w:t>
      </w:r>
      <w:r w:rsidR="00151A9E">
        <w:rPr>
          <w:rFonts w:hint="eastAsia"/>
        </w:rPr>
        <w:t>経営状態</w:t>
      </w:r>
      <w:r w:rsidR="00720ED7">
        <w:rPr>
          <w:rFonts w:hint="eastAsia"/>
        </w:rPr>
        <w:t>について確認する。</w:t>
      </w:r>
    </w:p>
    <w:p w14:paraId="64A721C2" w14:textId="77777777" w:rsidR="00720ED7" w:rsidRDefault="00720ED7" w:rsidP="00720ED7"/>
    <w:p w14:paraId="4021C9DC" w14:textId="4BE79986" w:rsidR="001C7908" w:rsidRPr="0024372F" w:rsidRDefault="002573EA" w:rsidP="00720ED7">
      <w:pPr>
        <w:rPr>
          <w:b/>
          <w:bCs/>
        </w:rPr>
      </w:pPr>
      <w:r>
        <w:rPr>
          <w:rFonts w:hint="eastAsia"/>
          <w:b/>
          <w:bCs/>
        </w:rPr>
        <w:t>2</w:t>
      </w:r>
      <w:r w:rsidR="00C01BB9">
        <w:rPr>
          <w:rFonts w:hint="eastAsia"/>
          <w:b/>
          <w:bCs/>
        </w:rPr>
        <w:t>－2</w:t>
      </w:r>
      <w:r w:rsidR="00720ED7" w:rsidRPr="0012638A">
        <w:rPr>
          <w:rFonts w:hint="eastAsia"/>
          <w:b/>
          <w:bCs/>
        </w:rPr>
        <w:t>．オリエンタルランド社の</w:t>
      </w:r>
      <w:r w:rsidR="0012638A" w:rsidRPr="0012638A">
        <w:rPr>
          <w:rFonts w:hint="eastAsia"/>
          <w:b/>
          <w:bCs/>
        </w:rPr>
        <w:t>経営成績と財政状態</w:t>
      </w:r>
    </w:p>
    <w:p w14:paraId="6B49D3C3" w14:textId="0625A42C" w:rsidR="00332F2F" w:rsidRPr="0012638A" w:rsidRDefault="002573EA" w:rsidP="00720ED7">
      <w:pPr>
        <w:rPr>
          <w:b/>
          <w:bCs/>
        </w:rPr>
      </w:pPr>
      <w:r>
        <w:rPr>
          <w:rFonts w:hint="eastAsia"/>
          <w:b/>
          <w:bCs/>
        </w:rPr>
        <w:t>2</w:t>
      </w:r>
      <w:r w:rsidR="00C01BB9">
        <w:rPr>
          <w:rFonts w:hint="eastAsia"/>
          <w:b/>
          <w:bCs/>
        </w:rPr>
        <w:t>－2－1</w:t>
      </w:r>
      <w:r w:rsidR="006D42E6" w:rsidRPr="0012638A">
        <w:rPr>
          <w:rFonts w:hint="eastAsia"/>
          <w:b/>
          <w:bCs/>
        </w:rPr>
        <w:t>．経営成績</w:t>
      </w:r>
    </w:p>
    <w:p w14:paraId="0A4DCDB0" w14:textId="047AD8C6" w:rsidR="00151A9E" w:rsidRDefault="0061465B" w:rsidP="00151A9E">
      <w:pPr>
        <w:ind w:firstLineChars="100" w:firstLine="210"/>
      </w:pPr>
      <w:r>
        <w:rPr>
          <w:rFonts w:hint="eastAsia"/>
        </w:rPr>
        <w:t>東京ディズニーリゾートは</w:t>
      </w:r>
      <w:r w:rsidR="009D45BC">
        <w:rPr>
          <w:rFonts w:hint="eastAsia"/>
        </w:rPr>
        <w:t>2020年</w:t>
      </w:r>
      <w:r w:rsidR="00151A9E">
        <w:rPr>
          <w:rFonts w:hint="eastAsia"/>
        </w:rPr>
        <w:t>2月２９日より臨時休業をスタートし、</w:t>
      </w:r>
      <w:r w:rsidR="00C677B4">
        <w:rPr>
          <w:rFonts w:hint="eastAsia"/>
        </w:rPr>
        <w:t>7月1日まで休園</w:t>
      </w:r>
      <w:r w:rsidR="00151A9E">
        <w:rPr>
          <w:rFonts w:hint="eastAsia"/>
        </w:rPr>
        <w:t>を行っている</w:t>
      </w:r>
      <w:r w:rsidR="00C677B4">
        <w:rPr>
          <w:rFonts w:hint="eastAsia"/>
        </w:rPr>
        <w:t>。</w:t>
      </w:r>
      <w:r w:rsidR="00151A9E">
        <w:rPr>
          <w:rFonts w:hint="eastAsia"/>
        </w:rPr>
        <w:t>まず、</w:t>
      </w:r>
      <w:r w:rsidR="00911633">
        <w:rPr>
          <w:rFonts w:hint="eastAsia"/>
        </w:rPr>
        <w:t>O</w:t>
      </w:r>
      <w:r w:rsidR="00911633">
        <w:t>LC</w:t>
      </w:r>
      <w:r w:rsidR="00151A9E">
        <w:rPr>
          <w:rFonts w:hint="eastAsia"/>
        </w:rPr>
        <w:t>の事業規模がどの程度なのか、</w:t>
      </w:r>
      <w:r w:rsidR="00CD183F">
        <w:rPr>
          <w:rFonts w:hint="eastAsia"/>
        </w:rPr>
        <w:t>年次の</w:t>
      </w:r>
      <w:r w:rsidR="00151A9E">
        <w:rPr>
          <w:rFonts w:hint="eastAsia"/>
        </w:rPr>
        <w:t>損益計算書から確認する。</w:t>
      </w:r>
    </w:p>
    <w:p w14:paraId="5A3D2E42" w14:textId="1506FD48" w:rsidR="0024372F" w:rsidRDefault="00151A9E" w:rsidP="00C74F0E">
      <w:pPr>
        <w:ind w:firstLineChars="100" w:firstLine="210"/>
      </w:pPr>
      <w:r>
        <w:rPr>
          <w:rFonts w:hint="eastAsia"/>
        </w:rPr>
        <w:t>表１は、直近３年間の</w:t>
      </w:r>
      <w:r w:rsidR="00001E66">
        <w:rPr>
          <w:rFonts w:hint="eastAsia"/>
        </w:rPr>
        <w:t>損益計算書を一部抜粋した経営成績</w:t>
      </w:r>
      <w:r>
        <w:rPr>
          <w:rFonts w:hint="eastAsia"/>
        </w:rPr>
        <w:t>である。</w:t>
      </w:r>
      <w:r w:rsidR="000214C0">
        <w:rPr>
          <w:rFonts w:hint="eastAsia"/>
        </w:rPr>
        <w:t>OLC</w:t>
      </w:r>
      <w:r w:rsidR="00CD183F">
        <w:rPr>
          <w:rFonts w:hint="eastAsia"/>
        </w:rPr>
        <w:t>の</w:t>
      </w:r>
      <w:r w:rsidR="00001E66">
        <w:rPr>
          <w:rFonts w:hint="eastAsia"/>
        </w:rPr>
        <w:t>2020年度</w:t>
      </w:r>
      <w:r w:rsidR="00CD183F">
        <w:rPr>
          <w:rFonts w:hint="eastAsia"/>
        </w:rPr>
        <w:t>の売上</w:t>
      </w:r>
      <w:r w:rsidR="000020A6">
        <w:rPr>
          <w:rFonts w:hint="eastAsia"/>
        </w:rPr>
        <w:t>高</w:t>
      </w:r>
      <w:r w:rsidR="00CD183F">
        <w:rPr>
          <w:rFonts w:hint="eastAsia"/>
        </w:rPr>
        <w:t>は</w:t>
      </w:r>
      <w:r w:rsidR="00001E66">
        <w:rPr>
          <w:rFonts w:hint="eastAsia"/>
        </w:rPr>
        <w:t>4645</w:t>
      </w:r>
      <w:r w:rsidR="00CD183F">
        <w:rPr>
          <w:rFonts w:hint="eastAsia"/>
        </w:rPr>
        <w:t>億円で</w:t>
      </w:r>
      <w:r w:rsidR="00332F2F">
        <w:rPr>
          <w:rFonts w:hint="eastAsia"/>
        </w:rPr>
        <w:t>、これ</w:t>
      </w:r>
      <w:r w:rsidR="00CD183F">
        <w:rPr>
          <w:rFonts w:hint="eastAsia"/>
        </w:rPr>
        <w:t>に対応</w:t>
      </w:r>
      <w:r w:rsidR="00332F2F">
        <w:rPr>
          <w:rFonts w:hint="eastAsia"/>
        </w:rPr>
        <w:t>する</w:t>
      </w:r>
      <w:r w:rsidR="00CD183F">
        <w:rPr>
          <w:rFonts w:hint="eastAsia"/>
        </w:rPr>
        <w:t>費用は約36</w:t>
      </w:r>
      <w:r w:rsidR="000020A6">
        <w:t>7</w:t>
      </w:r>
      <w:r w:rsidR="00CD183F">
        <w:rPr>
          <w:rFonts w:hint="eastAsia"/>
        </w:rPr>
        <w:t>0億円であ</w:t>
      </w:r>
      <w:r w:rsidR="00332F2F">
        <w:rPr>
          <w:rFonts w:hint="eastAsia"/>
        </w:rPr>
        <w:t>る</w:t>
      </w:r>
      <w:r w:rsidR="00CD183F">
        <w:rPr>
          <w:rFonts w:hint="eastAsia"/>
        </w:rPr>
        <w:t>（内訳</w:t>
      </w:r>
      <w:r w:rsidR="000020A6">
        <w:rPr>
          <w:rFonts w:hint="eastAsia"/>
        </w:rPr>
        <w:t>：</w:t>
      </w:r>
      <w:r w:rsidR="00CD183F">
        <w:rPr>
          <w:rFonts w:hint="eastAsia"/>
        </w:rPr>
        <w:t>売上原価が約3000億円、</w:t>
      </w:r>
      <w:r w:rsidR="000020A6">
        <w:rPr>
          <w:rFonts w:hint="eastAsia"/>
        </w:rPr>
        <w:t>販売費および一般管理費が約</w:t>
      </w:r>
      <w:r w:rsidR="000020A6">
        <w:t>670</w:t>
      </w:r>
      <w:r w:rsidR="000020A6">
        <w:rPr>
          <w:rFonts w:hint="eastAsia"/>
        </w:rPr>
        <w:t>億円）</w:t>
      </w:r>
      <w:r w:rsidR="00332F2F">
        <w:rPr>
          <w:rFonts w:hint="eastAsia"/>
        </w:rPr>
        <w:t>。これらを差し引いた</w:t>
      </w:r>
      <w:r w:rsidR="00001E66">
        <w:rPr>
          <w:rFonts w:hint="eastAsia"/>
        </w:rPr>
        <w:t>営業利益</w:t>
      </w:r>
      <w:r w:rsidR="00332F2F">
        <w:rPr>
          <w:rFonts w:hint="eastAsia"/>
        </w:rPr>
        <w:t>は</w:t>
      </w:r>
      <w:r w:rsidR="00001E66">
        <w:rPr>
          <w:rFonts w:hint="eastAsia"/>
        </w:rPr>
        <w:t>約1000億円</w:t>
      </w:r>
      <w:r w:rsidR="00332F2F">
        <w:rPr>
          <w:rFonts w:hint="eastAsia"/>
        </w:rPr>
        <w:t>超</w:t>
      </w:r>
      <w:r w:rsidR="00001E66">
        <w:rPr>
          <w:rFonts w:hint="eastAsia"/>
        </w:rPr>
        <w:t>の黒字</w:t>
      </w:r>
      <w:r w:rsidR="00332F2F">
        <w:rPr>
          <w:rFonts w:hint="eastAsia"/>
        </w:rPr>
        <w:t>となり、</w:t>
      </w:r>
      <w:r w:rsidR="00BF4F0D">
        <w:rPr>
          <w:rFonts w:hint="eastAsia"/>
        </w:rPr>
        <w:t>数値上</w:t>
      </w:r>
      <w:r w:rsidR="00767985">
        <w:rPr>
          <w:rFonts w:hint="eastAsia"/>
        </w:rPr>
        <w:t>、</w:t>
      </w:r>
      <w:r w:rsidR="00BF4F0D">
        <w:rPr>
          <w:rFonts w:hint="eastAsia"/>
        </w:rPr>
        <w:t>経営成績は順調そのものである。</w:t>
      </w:r>
      <w:r w:rsidR="006D42E6">
        <w:rPr>
          <w:rFonts w:hint="eastAsia"/>
        </w:rPr>
        <w:t>したがって</w:t>
      </w:r>
      <w:r w:rsidR="00767985">
        <w:rPr>
          <w:rFonts w:hint="eastAsia"/>
        </w:rPr>
        <w:t>、</w:t>
      </w:r>
      <w:r w:rsidR="000214C0">
        <w:rPr>
          <w:rFonts w:hint="eastAsia"/>
        </w:rPr>
        <w:t>OLC</w:t>
      </w:r>
      <w:r w:rsidR="006D42E6">
        <w:rPr>
          <w:rFonts w:hint="eastAsia"/>
        </w:rPr>
        <w:t>は、</w:t>
      </w:r>
      <w:r w:rsidR="00767985">
        <w:rPr>
          <w:rFonts w:hint="eastAsia"/>
        </w:rPr>
        <w:t>新型コロナウイルスにより営業自粛を行ったとしても、過去の経営実績から</w:t>
      </w:r>
      <w:r w:rsidR="006D42E6">
        <w:rPr>
          <w:rFonts w:hint="eastAsia"/>
        </w:rPr>
        <w:t>、それを乗り越えるだけの企業体力があるように窺える。これを裏付けるために、企業の貸借対照表から財政状態について確認しよう。</w:t>
      </w:r>
    </w:p>
    <w:p w14:paraId="631E794A" w14:textId="77DAE08B" w:rsidR="00883B98" w:rsidRDefault="00883B98" w:rsidP="006D42E6"/>
    <w:p w14:paraId="22E532AD" w14:textId="56EA8A18" w:rsidR="00C01BB9" w:rsidRDefault="00C01BB9" w:rsidP="006D42E6"/>
    <w:p w14:paraId="7EC0AAA8" w14:textId="405FFD78" w:rsidR="00FD4310" w:rsidRDefault="00FD4310" w:rsidP="006D42E6"/>
    <w:p w14:paraId="3D8BC9F9" w14:textId="36D02615" w:rsidR="00FD4310" w:rsidRDefault="00FD4310" w:rsidP="006D42E6"/>
    <w:p w14:paraId="6A51B830" w14:textId="5C13EAFE" w:rsidR="00FD4310" w:rsidRDefault="00FD4310" w:rsidP="006D42E6"/>
    <w:p w14:paraId="032AFF26" w14:textId="77777777" w:rsidR="00FD4310" w:rsidRDefault="00FD4310" w:rsidP="006D42E6">
      <w:pPr>
        <w:rPr>
          <w:rFonts w:hint="eastAsia"/>
        </w:rPr>
      </w:pPr>
    </w:p>
    <w:p w14:paraId="1C1E2077" w14:textId="64F686D0" w:rsidR="00883B98" w:rsidRDefault="00883B98" w:rsidP="006D42E6">
      <w:r>
        <w:rPr>
          <w:rFonts w:hint="eastAsia"/>
        </w:rPr>
        <w:t>表１　オリエンタルランド</w:t>
      </w:r>
      <w:r w:rsidR="00DF1BDA">
        <w:rPr>
          <w:rFonts w:hint="eastAsia"/>
        </w:rPr>
        <w:t>社</w:t>
      </w:r>
      <w:r>
        <w:rPr>
          <w:rFonts w:hint="eastAsia"/>
        </w:rPr>
        <w:t>の損益計算書（2018年から2020年）</w:t>
      </w:r>
    </w:p>
    <w:tbl>
      <w:tblPr>
        <w:tblW w:w="8860" w:type="dxa"/>
        <w:tblCellMar>
          <w:left w:w="99" w:type="dxa"/>
          <w:right w:w="99" w:type="dxa"/>
        </w:tblCellMar>
        <w:tblLook w:val="04A0" w:firstRow="1" w:lastRow="0" w:firstColumn="1" w:lastColumn="0" w:noHBand="0" w:noVBand="1"/>
      </w:tblPr>
      <w:tblGrid>
        <w:gridCol w:w="4560"/>
        <w:gridCol w:w="1540"/>
        <w:gridCol w:w="1380"/>
        <w:gridCol w:w="1380"/>
      </w:tblGrid>
      <w:tr w:rsidR="00883B98" w:rsidRPr="00883B98" w14:paraId="36E2E80F" w14:textId="77777777" w:rsidTr="00883B98">
        <w:trPr>
          <w:trHeight w:val="340"/>
        </w:trPr>
        <w:tc>
          <w:tcPr>
            <w:tcW w:w="4560" w:type="dxa"/>
            <w:tcBorders>
              <w:top w:val="single" w:sz="4" w:space="0" w:color="auto"/>
              <w:left w:val="nil"/>
              <w:bottom w:val="single" w:sz="4" w:space="0" w:color="auto"/>
              <w:right w:val="nil"/>
            </w:tcBorders>
            <w:shd w:val="clear" w:color="auto" w:fill="auto"/>
            <w:noWrap/>
            <w:vAlign w:val="center"/>
            <w:hideMark/>
          </w:tcPr>
          <w:p w14:paraId="4AD030F3" w14:textId="77777777" w:rsidR="00883B98" w:rsidRPr="00883B98" w:rsidRDefault="00883B98" w:rsidP="00883B98">
            <w:pPr>
              <w:widowControl/>
              <w:jc w:val="left"/>
              <w:rPr>
                <w:rFonts w:ascii="游ゴシック" w:eastAsia="游ゴシック" w:hAnsi="游ゴシック" w:cs="ＭＳ Ｐゴシック"/>
                <w:color w:val="000000"/>
                <w:kern w:val="0"/>
                <w:sz w:val="20"/>
                <w:szCs w:val="20"/>
              </w:rPr>
            </w:pPr>
            <w:r w:rsidRPr="00883B98">
              <w:rPr>
                <w:rFonts w:ascii="游ゴシック" w:eastAsia="游ゴシック" w:hAnsi="游ゴシック" w:cs="ＭＳ Ｐゴシック" w:hint="eastAsia"/>
                <w:color w:val="000000"/>
                <w:kern w:val="0"/>
                <w:sz w:val="20"/>
                <w:szCs w:val="20"/>
              </w:rPr>
              <w:t xml:space="preserve">　</w:t>
            </w:r>
          </w:p>
        </w:tc>
        <w:tc>
          <w:tcPr>
            <w:tcW w:w="1540" w:type="dxa"/>
            <w:tcBorders>
              <w:top w:val="single" w:sz="4" w:space="0" w:color="auto"/>
              <w:left w:val="nil"/>
              <w:bottom w:val="single" w:sz="4" w:space="0" w:color="auto"/>
              <w:right w:val="nil"/>
            </w:tcBorders>
            <w:shd w:val="clear" w:color="auto" w:fill="auto"/>
            <w:noWrap/>
            <w:vAlign w:val="center"/>
            <w:hideMark/>
          </w:tcPr>
          <w:p w14:paraId="2FF2AB34" w14:textId="77777777" w:rsidR="00883B98" w:rsidRPr="00C74F0E" w:rsidRDefault="00883B98" w:rsidP="001B11F1">
            <w:pPr>
              <w:widowControl/>
              <w:jc w:val="center"/>
              <w:rPr>
                <w:rFonts w:ascii="Century" w:eastAsia="游ゴシック" w:hAnsi="Century" w:cs="ＭＳ Ｐゴシック"/>
                <w:b/>
                <w:bCs/>
                <w:color w:val="000000"/>
                <w:kern w:val="0"/>
                <w:sz w:val="20"/>
                <w:szCs w:val="20"/>
              </w:rPr>
            </w:pPr>
            <w:r w:rsidRPr="00C74F0E">
              <w:rPr>
                <w:rFonts w:ascii="Century" w:eastAsia="游ゴシック" w:hAnsi="Century" w:cs="ＭＳ Ｐゴシック"/>
                <w:b/>
                <w:bCs/>
                <w:color w:val="000000"/>
                <w:kern w:val="0"/>
                <w:sz w:val="20"/>
                <w:szCs w:val="20"/>
              </w:rPr>
              <w:t>2018</w:t>
            </w:r>
          </w:p>
        </w:tc>
        <w:tc>
          <w:tcPr>
            <w:tcW w:w="1380" w:type="dxa"/>
            <w:tcBorders>
              <w:top w:val="single" w:sz="4" w:space="0" w:color="auto"/>
              <w:left w:val="nil"/>
              <w:bottom w:val="single" w:sz="4" w:space="0" w:color="auto"/>
              <w:right w:val="nil"/>
            </w:tcBorders>
            <w:shd w:val="clear" w:color="auto" w:fill="auto"/>
            <w:noWrap/>
            <w:vAlign w:val="center"/>
            <w:hideMark/>
          </w:tcPr>
          <w:p w14:paraId="0B9EA3F7" w14:textId="77777777" w:rsidR="00883B98" w:rsidRPr="00C74F0E" w:rsidRDefault="00883B98" w:rsidP="001B11F1">
            <w:pPr>
              <w:widowControl/>
              <w:jc w:val="center"/>
              <w:rPr>
                <w:rFonts w:ascii="Century" w:eastAsia="游ゴシック" w:hAnsi="Century" w:cs="ＭＳ Ｐゴシック"/>
                <w:b/>
                <w:bCs/>
                <w:color w:val="000000"/>
                <w:kern w:val="0"/>
                <w:sz w:val="20"/>
                <w:szCs w:val="20"/>
              </w:rPr>
            </w:pPr>
            <w:r w:rsidRPr="00C74F0E">
              <w:rPr>
                <w:rFonts w:ascii="Century" w:eastAsia="游ゴシック" w:hAnsi="Century" w:cs="ＭＳ Ｐゴシック"/>
                <w:b/>
                <w:bCs/>
                <w:color w:val="000000"/>
                <w:kern w:val="0"/>
                <w:sz w:val="20"/>
                <w:szCs w:val="20"/>
              </w:rPr>
              <w:t>2019</w:t>
            </w:r>
          </w:p>
        </w:tc>
        <w:tc>
          <w:tcPr>
            <w:tcW w:w="1380" w:type="dxa"/>
            <w:tcBorders>
              <w:top w:val="single" w:sz="4" w:space="0" w:color="auto"/>
              <w:left w:val="nil"/>
              <w:bottom w:val="single" w:sz="4" w:space="0" w:color="auto"/>
              <w:right w:val="nil"/>
            </w:tcBorders>
            <w:shd w:val="clear" w:color="auto" w:fill="auto"/>
            <w:noWrap/>
            <w:vAlign w:val="center"/>
            <w:hideMark/>
          </w:tcPr>
          <w:p w14:paraId="6004E570" w14:textId="77777777" w:rsidR="00883B98" w:rsidRPr="00C74F0E" w:rsidRDefault="00883B98" w:rsidP="001B11F1">
            <w:pPr>
              <w:widowControl/>
              <w:jc w:val="center"/>
              <w:rPr>
                <w:rFonts w:ascii="Century" w:eastAsia="游ゴシック" w:hAnsi="Century" w:cs="ＭＳ Ｐゴシック"/>
                <w:b/>
                <w:bCs/>
                <w:color w:val="000000"/>
                <w:kern w:val="0"/>
                <w:sz w:val="20"/>
                <w:szCs w:val="20"/>
              </w:rPr>
            </w:pPr>
            <w:r w:rsidRPr="00C74F0E">
              <w:rPr>
                <w:rFonts w:ascii="Century" w:eastAsia="游ゴシック" w:hAnsi="Century" w:cs="ＭＳ Ｐゴシック"/>
                <w:b/>
                <w:bCs/>
                <w:color w:val="000000"/>
                <w:kern w:val="0"/>
                <w:sz w:val="20"/>
                <w:szCs w:val="20"/>
              </w:rPr>
              <w:t>2020</w:t>
            </w:r>
          </w:p>
        </w:tc>
      </w:tr>
      <w:tr w:rsidR="00883B98" w:rsidRPr="00883B98" w14:paraId="4AE68959" w14:textId="77777777" w:rsidTr="00883B98">
        <w:trPr>
          <w:trHeight w:val="340"/>
        </w:trPr>
        <w:tc>
          <w:tcPr>
            <w:tcW w:w="4560" w:type="dxa"/>
            <w:tcBorders>
              <w:top w:val="nil"/>
              <w:left w:val="nil"/>
              <w:bottom w:val="nil"/>
              <w:right w:val="nil"/>
            </w:tcBorders>
            <w:shd w:val="clear" w:color="auto" w:fill="auto"/>
            <w:noWrap/>
            <w:vAlign w:val="center"/>
            <w:hideMark/>
          </w:tcPr>
          <w:p w14:paraId="39ED5048" w14:textId="77777777" w:rsidR="00883B98" w:rsidRPr="001B11F1" w:rsidRDefault="00883B98" w:rsidP="00883B98">
            <w:pPr>
              <w:widowControl/>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lastRenderedPageBreak/>
              <w:t>損益計算書</w:t>
            </w:r>
          </w:p>
        </w:tc>
        <w:tc>
          <w:tcPr>
            <w:tcW w:w="1540" w:type="dxa"/>
            <w:tcBorders>
              <w:top w:val="nil"/>
              <w:left w:val="nil"/>
              <w:bottom w:val="nil"/>
              <w:right w:val="nil"/>
            </w:tcBorders>
            <w:shd w:val="clear" w:color="auto" w:fill="auto"/>
            <w:noWrap/>
            <w:vAlign w:val="center"/>
            <w:hideMark/>
          </w:tcPr>
          <w:p w14:paraId="602DA2E9" w14:textId="77777777" w:rsidR="00883B98" w:rsidRPr="00C74F0E" w:rsidRDefault="00883B98" w:rsidP="00883B98">
            <w:pPr>
              <w:widowControl/>
              <w:jc w:val="left"/>
              <w:rPr>
                <w:rFonts w:ascii="Century" w:eastAsia="游ゴシック" w:hAnsi="Century" w:cs="ＭＳ Ｐゴシック"/>
                <w:color w:val="000000"/>
                <w:kern w:val="0"/>
                <w:sz w:val="20"/>
                <w:szCs w:val="20"/>
              </w:rPr>
            </w:pPr>
          </w:p>
        </w:tc>
        <w:tc>
          <w:tcPr>
            <w:tcW w:w="1380" w:type="dxa"/>
            <w:tcBorders>
              <w:top w:val="nil"/>
              <w:left w:val="nil"/>
              <w:bottom w:val="nil"/>
              <w:right w:val="nil"/>
            </w:tcBorders>
            <w:shd w:val="clear" w:color="auto" w:fill="auto"/>
            <w:noWrap/>
            <w:vAlign w:val="center"/>
            <w:hideMark/>
          </w:tcPr>
          <w:p w14:paraId="51CFACCB" w14:textId="77777777" w:rsidR="00883B98" w:rsidRPr="00C74F0E" w:rsidRDefault="00883B98" w:rsidP="00883B98">
            <w:pPr>
              <w:widowControl/>
              <w:jc w:val="left"/>
              <w:rPr>
                <w:rFonts w:ascii="Century" w:eastAsia="Times New Roman" w:hAnsi="Century" w:cs="Times New Roman"/>
                <w:kern w:val="0"/>
                <w:sz w:val="20"/>
                <w:szCs w:val="20"/>
              </w:rPr>
            </w:pPr>
          </w:p>
        </w:tc>
        <w:tc>
          <w:tcPr>
            <w:tcW w:w="1380" w:type="dxa"/>
            <w:tcBorders>
              <w:top w:val="nil"/>
              <w:left w:val="nil"/>
              <w:bottom w:val="nil"/>
              <w:right w:val="nil"/>
            </w:tcBorders>
            <w:shd w:val="clear" w:color="auto" w:fill="auto"/>
            <w:noWrap/>
            <w:vAlign w:val="center"/>
            <w:hideMark/>
          </w:tcPr>
          <w:p w14:paraId="2724D405" w14:textId="77777777" w:rsidR="00883B98" w:rsidRPr="00C74F0E" w:rsidRDefault="00883B98" w:rsidP="00883B98">
            <w:pPr>
              <w:widowControl/>
              <w:jc w:val="left"/>
              <w:rPr>
                <w:rFonts w:ascii="Century" w:eastAsia="Times New Roman" w:hAnsi="Century" w:cs="Times New Roman"/>
                <w:kern w:val="0"/>
                <w:sz w:val="20"/>
                <w:szCs w:val="20"/>
              </w:rPr>
            </w:pPr>
          </w:p>
        </w:tc>
      </w:tr>
      <w:tr w:rsidR="00883B98" w:rsidRPr="00883B98" w14:paraId="3C9275E4" w14:textId="77777777" w:rsidTr="00883B98">
        <w:trPr>
          <w:trHeight w:val="340"/>
        </w:trPr>
        <w:tc>
          <w:tcPr>
            <w:tcW w:w="4560" w:type="dxa"/>
            <w:tcBorders>
              <w:top w:val="nil"/>
              <w:left w:val="nil"/>
              <w:bottom w:val="nil"/>
              <w:right w:val="nil"/>
            </w:tcBorders>
            <w:shd w:val="clear" w:color="auto" w:fill="auto"/>
            <w:noWrap/>
            <w:vAlign w:val="center"/>
            <w:hideMark/>
          </w:tcPr>
          <w:p w14:paraId="09300AC1" w14:textId="77777777" w:rsidR="00883B98" w:rsidRPr="001B11F1" w:rsidRDefault="00883B98" w:rsidP="00883B98">
            <w:pPr>
              <w:widowControl/>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売上高</w:t>
            </w:r>
          </w:p>
        </w:tc>
        <w:tc>
          <w:tcPr>
            <w:tcW w:w="1540" w:type="dxa"/>
            <w:tcBorders>
              <w:top w:val="nil"/>
              <w:left w:val="nil"/>
              <w:bottom w:val="nil"/>
              <w:right w:val="nil"/>
            </w:tcBorders>
            <w:shd w:val="clear" w:color="auto" w:fill="auto"/>
            <w:noWrap/>
            <w:vAlign w:val="center"/>
            <w:hideMark/>
          </w:tcPr>
          <w:p w14:paraId="1319456A"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479,280 </w:t>
            </w:r>
          </w:p>
        </w:tc>
        <w:tc>
          <w:tcPr>
            <w:tcW w:w="1380" w:type="dxa"/>
            <w:tcBorders>
              <w:top w:val="nil"/>
              <w:left w:val="nil"/>
              <w:bottom w:val="nil"/>
              <w:right w:val="nil"/>
            </w:tcBorders>
            <w:shd w:val="clear" w:color="auto" w:fill="auto"/>
            <w:noWrap/>
            <w:vAlign w:val="center"/>
            <w:hideMark/>
          </w:tcPr>
          <w:p w14:paraId="4B88A8EE"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525,622 </w:t>
            </w:r>
          </w:p>
        </w:tc>
        <w:tc>
          <w:tcPr>
            <w:tcW w:w="1380" w:type="dxa"/>
            <w:tcBorders>
              <w:top w:val="nil"/>
              <w:left w:val="nil"/>
              <w:bottom w:val="nil"/>
              <w:right w:val="nil"/>
            </w:tcBorders>
            <w:shd w:val="clear" w:color="auto" w:fill="auto"/>
            <w:noWrap/>
            <w:vAlign w:val="center"/>
            <w:hideMark/>
          </w:tcPr>
          <w:p w14:paraId="54C59FDB"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464,450 </w:t>
            </w:r>
          </w:p>
        </w:tc>
      </w:tr>
      <w:tr w:rsidR="00883B98" w:rsidRPr="00883B98" w14:paraId="31453428" w14:textId="77777777" w:rsidTr="00883B98">
        <w:trPr>
          <w:trHeight w:val="340"/>
        </w:trPr>
        <w:tc>
          <w:tcPr>
            <w:tcW w:w="4560" w:type="dxa"/>
            <w:tcBorders>
              <w:top w:val="nil"/>
              <w:left w:val="nil"/>
              <w:bottom w:val="nil"/>
              <w:right w:val="nil"/>
            </w:tcBorders>
            <w:shd w:val="clear" w:color="auto" w:fill="auto"/>
            <w:noWrap/>
            <w:vAlign w:val="center"/>
            <w:hideMark/>
          </w:tcPr>
          <w:p w14:paraId="59C183CB" w14:textId="77777777" w:rsidR="00883B98" w:rsidRPr="001B11F1" w:rsidRDefault="00883B98" w:rsidP="00883B98">
            <w:pPr>
              <w:widowControl/>
              <w:ind w:firstLineChars="100" w:firstLine="200"/>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売上原価</w:t>
            </w:r>
          </w:p>
        </w:tc>
        <w:tc>
          <w:tcPr>
            <w:tcW w:w="1540" w:type="dxa"/>
            <w:tcBorders>
              <w:top w:val="nil"/>
              <w:left w:val="nil"/>
              <w:bottom w:val="nil"/>
              <w:right w:val="nil"/>
            </w:tcBorders>
            <w:shd w:val="clear" w:color="auto" w:fill="auto"/>
            <w:noWrap/>
            <w:vAlign w:val="center"/>
            <w:hideMark/>
          </w:tcPr>
          <w:p w14:paraId="6FE9E606"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FF0000"/>
                <w:kern w:val="0"/>
                <w:sz w:val="20"/>
                <w:szCs w:val="20"/>
              </w:rPr>
              <w:t xml:space="preserve">-302,772 </w:t>
            </w:r>
          </w:p>
        </w:tc>
        <w:tc>
          <w:tcPr>
            <w:tcW w:w="1380" w:type="dxa"/>
            <w:tcBorders>
              <w:top w:val="nil"/>
              <w:left w:val="nil"/>
              <w:bottom w:val="nil"/>
              <w:right w:val="nil"/>
            </w:tcBorders>
            <w:shd w:val="clear" w:color="auto" w:fill="auto"/>
            <w:noWrap/>
            <w:vAlign w:val="center"/>
            <w:hideMark/>
          </w:tcPr>
          <w:p w14:paraId="7B2A67DE"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FF0000"/>
                <w:kern w:val="0"/>
                <w:sz w:val="20"/>
                <w:szCs w:val="20"/>
              </w:rPr>
              <w:t xml:space="preserve">-326,283 </w:t>
            </w:r>
          </w:p>
        </w:tc>
        <w:tc>
          <w:tcPr>
            <w:tcW w:w="1380" w:type="dxa"/>
            <w:tcBorders>
              <w:top w:val="nil"/>
              <w:left w:val="nil"/>
              <w:bottom w:val="nil"/>
              <w:right w:val="nil"/>
            </w:tcBorders>
            <w:shd w:val="clear" w:color="auto" w:fill="auto"/>
            <w:noWrap/>
            <w:vAlign w:val="center"/>
            <w:hideMark/>
          </w:tcPr>
          <w:p w14:paraId="24DF9ADF"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FF0000"/>
                <w:kern w:val="0"/>
                <w:sz w:val="20"/>
                <w:szCs w:val="20"/>
              </w:rPr>
              <w:t xml:space="preserve">-300,601 </w:t>
            </w:r>
          </w:p>
        </w:tc>
      </w:tr>
      <w:tr w:rsidR="00883B98" w:rsidRPr="00883B98" w14:paraId="42826C31" w14:textId="77777777" w:rsidTr="00883B98">
        <w:trPr>
          <w:trHeight w:val="340"/>
        </w:trPr>
        <w:tc>
          <w:tcPr>
            <w:tcW w:w="4560" w:type="dxa"/>
            <w:tcBorders>
              <w:top w:val="nil"/>
              <w:left w:val="nil"/>
              <w:bottom w:val="nil"/>
              <w:right w:val="nil"/>
            </w:tcBorders>
            <w:shd w:val="clear" w:color="auto" w:fill="auto"/>
            <w:noWrap/>
            <w:vAlign w:val="center"/>
            <w:hideMark/>
          </w:tcPr>
          <w:p w14:paraId="46EE9F86" w14:textId="77777777" w:rsidR="00883B98" w:rsidRPr="001B11F1" w:rsidRDefault="00883B98" w:rsidP="00883B98">
            <w:pPr>
              <w:widowControl/>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売上総利益</w:t>
            </w:r>
          </w:p>
        </w:tc>
        <w:tc>
          <w:tcPr>
            <w:tcW w:w="1540" w:type="dxa"/>
            <w:tcBorders>
              <w:top w:val="nil"/>
              <w:left w:val="nil"/>
              <w:bottom w:val="nil"/>
              <w:right w:val="nil"/>
            </w:tcBorders>
            <w:shd w:val="clear" w:color="auto" w:fill="auto"/>
            <w:noWrap/>
            <w:vAlign w:val="center"/>
            <w:hideMark/>
          </w:tcPr>
          <w:p w14:paraId="4B6AABF9"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176,508 </w:t>
            </w:r>
          </w:p>
        </w:tc>
        <w:tc>
          <w:tcPr>
            <w:tcW w:w="1380" w:type="dxa"/>
            <w:tcBorders>
              <w:top w:val="nil"/>
              <w:left w:val="nil"/>
              <w:bottom w:val="nil"/>
              <w:right w:val="nil"/>
            </w:tcBorders>
            <w:shd w:val="clear" w:color="auto" w:fill="auto"/>
            <w:noWrap/>
            <w:vAlign w:val="center"/>
            <w:hideMark/>
          </w:tcPr>
          <w:p w14:paraId="5654568F"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199,339 </w:t>
            </w:r>
          </w:p>
        </w:tc>
        <w:tc>
          <w:tcPr>
            <w:tcW w:w="1380" w:type="dxa"/>
            <w:tcBorders>
              <w:top w:val="nil"/>
              <w:left w:val="nil"/>
              <w:bottom w:val="nil"/>
              <w:right w:val="nil"/>
            </w:tcBorders>
            <w:shd w:val="clear" w:color="auto" w:fill="auto"/>
            <w:noWrap/>
            <w:vAlign w:val="center"/>
            <w:hideMark/>
          </w:tcPr>
          <w:p w14:paraId="7C898363"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163,849 </w:t>
            </w:r>
          </w:p>
        </w:tc>
      </w:tr>
      <w:tr w:rsidR="00883B98" w:rsidRPr="00883B98" w14:paraId="3690E2C5" w14:textId="77777777" w:rsidTr="00883B98">
        <w:trPr>
          <w:trHeight w:val="340"/>
        </w:trPr>
        <w:tc>
          <w:tcPr>
            <w:tcW w:w="4560" w:type="dxa"/>
            <w:tcBorders>
              <w:top w:val="nil"/>
              <w:left w:val="nil"/>
              <w:bottom w:val="nil"/>
              <w:right w:val="nil"/>
            </w:tcBorders>
            <w:shd w:val="clear" w:color="auto" w:fill="auto"/>
            <w:noWrap/>
            <w:vAlign w:val="center"/>
            <w:hideMark/>
          </w:tcPr>
          <w:p w14:paraId="207D7E20" w14:textId="77777777" w:rsidR="00883B98" w:rsidRPr="001B11F1" w:rsidRDefault="00883B98" w:rsidP="00883B98">
            <w:pPr>
              <w:widowControl/>
              <w:ind w:firstLineChars="100" w:firstLine="200"/>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販管費</w:t>
            </w:r>
          </w:p>
        </w:tc>
        <w:tc>
          <w:tcPr>
            <w:tcW w:w="1540" w:type="dxa"/>
            <w:tcBorders>
              <w:top w:val="nil"/>
              <w:left w:val="nil"/>
              <w:bottom w:val="nil"/>
              <w:right w:val="nil"/>
            </w:tcBorders>
            <w:shd w:val="clear" w:color="auto" w:fill="auto"/>
            <w:noWrap/>
            <w:vAlign w:val="center"/>
            <w:hideMark/>
          </w:tcPr>
          <w:p w14:paraId="095C61CD"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FF0000"/>
                <w:kern w:val="0"/>
                <w:sz w:val="20"/>
                <w:szCs w:val="20"/>
              </w:rPr>
              <w:t xml:space="preserve">-66,223 </w:t>
            </w:r>
          </w:p>
        </w:tc>
        <w:tc>
          <w:tcPr>
            <w:tcW w:w="1380" w:type="dxa"/>
            <w:tcBorders>
              <w:top w:val="nil"/>
              <w:left w:val="nil"/>
              <w:bottom w:val="nil"/>
              <w:right w:val="nil"/>
            </w:tcBorders>
            <w:shd w:val="clear" w:color="auto" w:fill="auto"/>
            <w:noWrap/>
            <w:vAlign w:val="center"/>
            <w:hideMark/>
          </w:tcPr>
          <w:p w14:paraId="3820B696"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FF0000"/>
                <w:kern w:val="0"/>
                <w:sz w:val="20"/>
                <w:szCs w:val="20"/>
              </w:rPr>
              <w:t xml:space="preserve">-70,061 </w:t>
            </w:r>
          </w:p>
        </w:tc>
        <w:tc>
          <w:tcPr>
            <w:tcW w:w="1380" w:type="dxa"/>
            <w:tcBorders>
              <w:top w:val="nil"/>
              <w:left w:val="nil"/>
              <w:bottom w:val="nil"/>
              <w:right w:val="nil"/>
            </w:tcBorders>
            <w:shd w:val="clear" w:color="auto" w:fill="auto"/>
            <w:noWrap/>
            <w:vAlign w:val="center"/>
            <w:hideMark/>
          </w:tcPr>
          <w:p w14:paraId="5A096C69"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FF0000"/>
                <w:kern w:val="0"/>
                <w:sz w:val="20"/>
                <w:szCs w:val="20"/>
              </w:rPr>
              <w:t xml:space="preserve">-66,987 </w:t>
            </w:r>
          </w:p>
        </w:tc>
      </w:tr>
      <w:tr w:rsidR="00883B98" w:rsidRPr="00883B98" w14:paraId="38AC603C" w14:textId="77777777" w:rsidTr="00883B98">
        <w:trPr>
          <w:trHeight w:val="340"/>
        </w:trPr>
        <w:tc>
          <w:tcPr>
            <w:tcW w:w="4560" w:type="dxa"/>
            <w:tcBorders>
              <w:top w:val="nil"/>
              <w:left w:val="nil"/>
              <w:bottom w:val="nil"/>
              <w:right w:val="nil"/>
            </w:tcBorders>
            <w:shd w:val="clear" w:color="auto" w:fill="auto"/>
            <w:noWrap/>
            <w:vAlign w:val="center"/>
            <w:hideMark/>
          </w:tcPr>
          <w:p w14:paraId="6F58653F" w14:textId="77777777" w:rsidR="00883B98" w:rsidRPr="001B11F1" w:rsidRDefault="00883B98" w:rsidP="00883B98">
            <w:pPr>
              <w:widowControl/>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営業利益</w:t>
            </w:r>
          </w:p>
        </w:tc>
        <w:tc>
          <w:tcPr>
            <w:tcW w:w="1540" w:type="dxa"/>
            <w:tcBorders>
              <w:top w:val="nil"/>
              <w:left w:val="nil"/>
              <w:bottom w:val="nil"/>
              <w:right w:val="nil"/>
            </w:tcBorders>
            <w:shd w:val="clear" w:color="auto" w:fill="auto"/>
            <w:noWrap/>
            <w:vAlign w:val="center"/>
            <w:hideMark/>
          </w:tcPr>
          <w:p w14:paraId="2D311F3E"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110,285 </w:t>
            </w:r>
          </w:p>
        </w:tc>
        <w:tc>
          <w:tcPr>
            <w:tcW w:w="1380" w:type="dxa"/>
            <w:tcBorders>
              <w:top w:val="nil"/>
              <w:left w:val="nil"/>
              <w:bottom w:val="nil"/>
              <w:right w:val="nil"/>
            </w:tcBorders>
            <w:shd w:val="clear" w:color="auto" w:fill="auto"/>
            <w:noWrap/>
            <w:vAlign w:val="center"/>
            <w:hideMark/>
          </w:tcPr>
          <w:p w14:paraId="50886304"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129,278 </w:t>
            </w:r>
          </w:p>
        </w:tc>
        <w:tc>
          <w:tcPr>
            <w:tcW w:w="1380" w:type="dxa"/>
            <w:tcBorders>
              <w:top w:val="nil"/>
              <w:left w:val="nil"/>
              <w:bottom w:val="nil"/>
              <w:right w:val="nil"/>
            </w:tcBorders>
            <w:shd w:val="clear" w:color="auto" w:fill="auto"/>
            <w:noWrap/>
            <w:vAlign w:val="center"/>
            <w:hideMark/>
          </w:tcPr>
          <w:p w14:paraId="1B4B73F6"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96,862 </w:t>
            </w:r>
          </w:p>
        </w:tc>
      </w:tr>
      <w:tr w:rsidR="00883B98" w:rsidRPr="00883B98" w14:paraId="1EF92D7F" w14:textId="77777777" w:rsidTr="00883B98">
        <w:trPr>
          <w:trHeight w:val="340"/>
        </w:trPr>
        <w:tc>
          <w:tcPr>
            <w:tcW w:w="4560" w:type="dxa"/>
            <w:tcBorders>
              <w:top w:val="nil"/>
              <w:left w:val="nil"/>
              <w:bottom w:val="nil"/>
              <w:right w:val="nil"/>
            </w:tcBorders>
            <w:shd w:val="clear" w:color="auto" w:fill="auto"/>
            <w:noWrap/>
            <w:vAlign w:val="center"/>
            <w:hideMark/>
          </w:tcPr>
          <w:p w14:paraId="47F4BCA8" w14:textId="77777777" w:rsidR="00883B98" w:rsidRPr="001B11F1" w:rsidRDefault="00883B98" w:rsidP="00883B98">
            <w:pPr>
              <w:widowControl/>
              <w:ind w:firstLineChars="100" w:firstLine="200"/>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営業外収益</w:t>
            </w:r>
          </w:p>
        </w:tc>
        <w:tc>
          <w:tcPr>
            <w:tcW w:w="1540" w:type="dxa"/>
            <w:tcBorders>
              <w:top w:val="nil"/>
              <w:left w:val="nil"/>
              <w:bottom w:val="nil"/>
              <w:right w:val="nil"/>
            </w:tcBorders>
            <w:shd w:val="clear" w:color="auto" w:fill="auto"/>
            <w:noWrap/>
            <w:vAlign w:val="center"/>
            <w:hideMark/>
          </w:tcPr>
          <w:p w14:paraId="12F6513A"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1,375 </w:t>
            </w:r>
          </w:p>
        </w:tc>
        <w:tc>
          <w:tcPr>
            <w:tcW w:w="1380" w:type="dxa"/>
            <w:tcBorders>
              <w:top w:val="nil"/>
              <w:left w:val="nil"/>
              <w:bottom w:val="nil"/>
              <w:right w:val="nil"/>
            </w:tcBorders>
            <w:shd w:val="clear" w:color="auto" w:fill="auto"/>
            <w:noWrap/>
            <w:vAlign w:val="center"/>
            <w:hideMark/>
          </w:tcPr>
          <w:p w14:paraId="0E96C988"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161 </w:t>
            </w:r>
          </w:p>
        </w:tc>
        <w:tc>
          <w:tcPr>
            <w:tcW w:w="1380" w:type="dxa"/>
            <w:tcBorders>
              <w:top w:val="nil"/>
              <w:left w:val="nil"/>
              <w:bottom w:val="nil"/>
              <w:right w:val="nil"/>
            </w:tcBorders>
            <w:shd w:val="clear" w:color="auto" w:fill="auto"/>
            <w:noWrap/>
            <w:vAlign w:val="center"/>
            <w:hideMark/>
          </w:tcPr>
          <w:p w14:paraId="49BE275E"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1,200 </w:t>
            </w:r>
          </w:p>
        </w:tc>
      </w:tr>
      <w:tr w:rsidR="00883B98" w:rsidRPr="00883B98" w14:paraId="696C4B1E" w14:textId="77777777" w:rsidTr="00883B98">
        <w:trPr>
          <w:trHeight w:val="340"/>
        </w:trPr>
        <w:tc>
          <w:tcPr>
            <w:tcW w:w="4560" w:type="dxa"/>
            <w:tcBorders>
              <w:top w:val="nil"/>
              <w:left w:val="nil"/>
              <w:bottom w:val="nil"/>
              <w:right w:val="nil"/>
            </w:tcBorders>
            <w:shd w:val="clear" w:color="auto" w:fill="auto"/>
            <w:noWrap/>
            <w:vAlign w:val="center"/>
            <w:hideMark/>
          </w:tcPr>
          <w:p w14:paraId="58532DA3" w14:textId="77777777" w:rsidR="00883B98" w:rsidRPr="001B11F1" w:rsidRDefault="00883B98" w:rsidP="00883B98">
            <w:pPr>
              <w:widowControl/>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経常利益</w:t>
            </w:r>
          </w:p>
        </w:tc>
        <w:tc>
          <w:tcPr>
            <w:tcW w:w="1540" w:type="dxa"/>
            <w:tcBorders>
              <w:top w:val="nil"/>
              <w:left w:val="nil"/>
              <w:bottom w:val="nil"/>
              <w:right w:val="nil"/>
            </w:tcBorders>
            <w:shd w:val="clear" w:color="auto" w:fill="auto"/>
            <w:noWrap/>
            <w:vAlign w:val="center"/>
            <w:hideMark/>
          </w:tcPr>
          <w:p w14:paraId="0A0AB184"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111,660 </w:t>
            </w:r>
          </w:p>
        </w:tc>
        <w:tc>
          <w:tcPr>
            <w:tcW w:w="1380" w:type="dxa"/>
            <w:tcBorders>
              <w:top w:val="nil"/>
              <w:left w:val="nil"/>
              <w:bottom w:val="nil"/>
              <w:right w:val="nil"/>
            </w:tcBorders>
            <w:shd w:val="clear" w:color="auto" w:fill="auto"/>
            <w:noWrap/>
            <w:vAlign w:val="center"/>
            <w:hideMark/>
          </w:tcPr>
          <w:p w14:paraId="5748CCA0"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129,439 </w:t>
            </w:r>
          </w:p>
        </w:tc>
        <w:tc>
          <w:tcPr>
            <w:tcW w:w="1380" w:type="dxa"/>
            <w:tcBorders>
              <w:top w:val="nil"/>
              <w:left w:val="nil"/>
              <w:bottom w:val="nil"/>
              <w:right w:val="nil"/>
            </w:tcBorders>
            <w:shd w:val="clear" w:color="auto" w:fill="auto"/>
            <w:noWrap/>
            <w:vAlign w:val="center"/>
            <w:hideMark/>
          </w:tcPr>
          <w:p w14:paraId="1EDEEE65"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98,062 </w:t>
            </w:r>
          </w:p>
        </w:tc>
      </w:tr>
      <w:tr w:rsidR="00883B98" w:rsidRPr="00883B98" w14:paraId="2776CE04" w14:textId="77777777" w:rsidTr="00883B98">
        <w:trPr>
          <w:trHeight w:val="340"/>
        </w:trPr>
        <w:tc>
          <w:tcPr>
            <w:tcW w:w="4560" w:type="dxa"/>
            <w:tcBorders>
              <w:top w:val="nil"/>
              <w:left w:val="nil"/>
              <w:bottom w:val="nil"/>
              <w:right w:val="nil"/>
            </w:tcBorders>
            <w:shd w:val="clear" w:color="auto" w:fill="auto"/>
            <w:noWrap/>
            <w:vAlign w:val="center"/>
            <w:hideMark/>
          </w:tcPr>
          <w:p w14:paraId="7A8AA11A" w14:textId="77777777" w:rsidR="00883B98" w:rsidRPr="001B11F1" w:rsidRDefault="00883B98" w:rsidP="00883B98">
            <w:pPr>
              <w:widowControl/>
              <w:ind w:firstLineChars="100" w:firstLine="200"/>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法人税等</w:t>
            </w:r>
          </w:p>
        </w:tc>
        <w:tc>
          <w:tcPr>
            <w:tcW w:w="1540" w:type="dxa"/>
            <w:tcBorders>
              <w:top w:val="nil"/>
              <w:left w:val="nil"/>
              <w:bottom w:val="nil"/>
              <w:right w:val="nil"/>
            </w:tcBorders>
            <w:shd w:val="clear" w:color="auto" w:fill="auto"/>
            <w:noWrap/>
            <w:vAlign w:val="center"/>
            <w:hideMark/>
          </w:tcPr>
          <w:p w14:paraId="33534F2B"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FF0000"/>
                <w:kern w:val="0"/>
                <w:sz w:val="20"/>
                <w:szCs w:val="20"/>
              </w:rPr>
              <w:t xml:space="preserve">-31,805 </w:t>
            </w:r>
          </w:p>
        </w:tc>
        <w:tc>
          <w:tcPr>
            <w:tcW w:w="1380" w:type="dxa"/>
            <w:tcBorders>
              <w:top w:val="nil"/>
              <w:left w:val="nil"/>
              <w:bottom w:val="nil"/>
              <w:right w:val="nil"/>
            </w:tcBorders>
            <w:shd w:val="clear" w:color="auto" w:fill="auto"/>
            <w:noWrap/>
            <w:vAlign w:val="center"/>
            <w:hideMark/>
          </w:tcPr>
          <w:p w14:paraId="1E10EDAE"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FF0000"/>
                <w:kern w:val="0"/>
                <w:sz w:val="20"/>
                <w:szCs w:val="20"/>
              </w:rPr>
              <w:t xml:space="preserve">-39,153 </w:t>
            </w:r>
          </w:p>
        </w:tc>
        <w:tc>
          <w:tcPr>
            <w:tcW w:w="1380" w:type="dxa"/>
            <w:tcBorders>
              <w:top w:val="nil"/>
              <w:left w:val="nil"/>
              <w:bottom w:val="nil"/>
              <w:right w:val="nil"/>
            </w:tcBorders>
            <w:shd w:val="clear" w:color="auto" w:fill="auto"/>
            <w:noWrap/>
            <w:vAlign w:val="center"/>
            <w:hideMark/>
          </w:tcPr>
          <w:p w14:paraId="0A7AE383"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FF0000"/>
                <w:kern w:val="0"/>
                <w:sz w:val="20"/>
                <w:szCs w:val="20"/>
              </w:rPr>
              <w:t xml:space="preserve">-26,916 </w:t>
            </w:r>
          </w:p>
        </w:tc>
      </w:tr>
      <w:tr w:rsidR="00883B98" w:rsidRPr="00883B98" w14:paraId="03242850" w14:textId="77777777" w:rsidTr="001B11F1">
        <w:trPr>
          <w:trHeight w:val="340"/>
        </w:trPr>
        <w:tc>
          <w:tcPr>
            <w:tcW w:w="4560" w:type="dxa"/>
            <w:tcBorders>
              <w:top w:val="nil"/>
              <w:left w:val="nil"/>
              <w:bottom w:val="single" w:sz="4" w:space="0" w:color="auto"/>
              <w:right w:val="nil"/>
            </w:tcBorders>
            <w:shd w:val="clear" w:color="auto" w:fill="auto"/>
            <w:noWrap/>
            <w:vAlign w:val="center"/>
            <w:hideMark/>
          </w:tcPr>
          <w:p w14:paraId="13CA367D" w14:textId="77777777" w:rsidR="00883B98" w:rsidRPr="001B11F1" w:rsidRDefault="00883B98" w:rsidP="00883B98">
            <w:pPr>
              <w:widowControl/>
              <w:ind w:firstLineChars="200" w:firstLine="400"/>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実質実効税率</w:t>
            </w:r>
          </w:p>
        </w:tc>
        <w:tc>
          <w:tcPr>
            <w:tcW w:w="1540" w:type="dxa"/>
            <w:tcBorders>
              <w:top w:val="nil"/>
              <w:left w:val="nil"/>
              <w:bottom w:val="single" w:sz="4" w:space="0" w:color="auto"/>
              <w:right w:val="nil"/>
            </w:tcBorders>
            <w:shd w:val="clear" w:color="auto" w:fill="auto"/>
            <w:noWrap/>
            <w:vAlign w:val="center"/>
            <w:hideMark/>
          </w:tcPr>
          <w:p w14:paraId="4F991461"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28.5%</w:t>
            </w:r>
          </w:p>
        </w:tc>
        <w:tc>
          <w:tcPr>
            <w:tcW w:w="1380" w:type="dxa"/>
            <w:tcBorders>
              <w:top w:val="nil"/>
              <w:left w:val="nil"/>
              <w:bottom w:val="single" w:sz="4" w:space="0" w:color="auto"/>
              <w:right w:val="nil"/>
            </w:tcBorders>
            <w:shd w:val="clear" w:color="auto" w:fill="auto"/>
            <w:noWrap/>
            <w:vAlign w:val="center"/>
            <w:hideMark/>
          </w:tcPr>
          <w:p w14:paraId="3EAFA534"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30.2%</w:t>
            </w:r>
          </w:p>
        </w:tc>
        <w:tc>
          <w:tcPr>
            <w:tcW w:w="1380" w:type="dxa"/>
            <w:tcBorders>
              <w:top w:val="nil"/>
              <w:left w:val="nil"/>
              <w:bottom w:val="single" w:sz="4" w:space="0" w:color="auto"/>
              <w:right w:val="nil"/>
            </w:tcBorders>
            <w:shd w:val="clear" w:color="auto" w:fill="auto"/>
            <w:noWrap/>
            <w:vAlign w:val="center"/>
            <w:hideMark/>
          </w:tcPr>
          <w:p w14:paraId="73619F2B" w14:textId="77777777" w:rsidR="00883B98" w:rsidRPr="00C74F0E" w:rsidRDefault="00883B98" w:rsidP="00883B98">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27.4%</w:t>
            </w:r>
          </w:p>
        </w:tc>
      </w:tr>
      <w:tr w:rsidR="00883B98" w:rsidRPr="00883B98" w14:paraId="5AD1277A" w14:textId="77777777" w:rsidTr="001B11F1">
        <w:trPr>
          <w:trHeight w:val="340"/>
        </w:trPr>
        <w:tc>
          <w:tcPr>
            <w:tcW w:w="4560" w:type="dxa"/>
            <w:tcBorders>
              <w:top w:val="single" w:sz="4" w:space="0" w:color="auto"/>
              <w:left w:val="nil"/>
              <w:bottom w:val="single" w:sz="4" w:space="0" w:color="auto"/>
              <w:right w:val="nil"/>
            </w:tcBorders>
            <w:shd w:val="clear" w:color="auto" w:fill="auto"/>
            <w:noWrap/>
            <w:vAlign w:val="center"/>
            <w:hideMark/>
          </w:tcPr>
          <w:p w14:paraId="1D2B49ED" w14:textId="77777777" w:rsidR="00883B98" w:rsidRPr="001B11F1" w:rsidRDefault="00883B98" w:rsidP="00883B98">
            <w:pPr>
              <w:widowControl/>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親会社に帰属する純利益</w:t>
            </w:r>
          </w:p>
        </w:tc>
        <w:tc>
          <w:tcPr>
            <w:tcW w:w="1540" w:type="dxa"/>
            <w:tcBorders>
              <w:top w:val="single" w:sz="4" w:space="0" w:color="auto"/>
              <w:left w:val="nil"/>
              <w:bottom w:val="single" w:sz="4" w:space="0" w:color="auto"/>
              <w:right w:val="nil"/>
            </w:tcBorders>
            <w:shd w:val="clear" w:color="auto" w:fill="auto"/>
            <w:noWrap/>
            <w:vAlign w:val="center"/>
            <w:hideMark/>
          </w:tcPr>
          <w:p w14:paraId="20BFB9CE" w14:textId="77777777" w:rsidR="00883B98" w:rsidRPr="001B11F1" w:rsidRDefault="00883B98" w:rsidP="00883B98">
            <w:pPr>
              <w:widowControl/>
              <w:jc w:val="right"/>
              <w:rPr>
                <w:rFonts w:ascii="Calibri" w:eastAsia="游ゴシック" w:hAnsi="Calibri" w:cs="Calibri"/>
                <w:color w:val="000000"/>
                <w:kern w:val="0"/>
                <w:sz w:val="20"/>
                <w:szCs w:val="20"/>
              </w:rPr>
            </w:pPr>
            <w:r w:rsidRPr="001B11F1">
              <w:rPr>
                <w:rFonts w:ascii="Calibri" w:eastAsia="游ゴシック" w:hAnsi="Calibri" w:cs="Calibri"/>
                <w:color w:val="000000"/>
                <w:kern w:val="0"/>
                <w:sz w:val="20"/>
                <w:szCs w:val="20"/>
              </w:rPr>
              <w:t xml:space="preserve">81,191 </w:t>
            </w:r>
          </w:p>
        </w:tc>
        <w:tc>
          <w:tcPr>
            <w:tcW w:w="1380" w:type="dxa"/>
            <w:tcBorders>
              <w:top w:val="single" w:sz="4" w:space="0" w:color="auto"/>
              <w:left w:val="nil"/>
              <w:bottom w:val="single" w:sz="4" w:space="0" w:color="auto"/>
              <w:right w:val="nil"/>
            </w:tcBorders>
            <w:shd w:val="clear" w:color="auto" w:fill="auto"/>
            <w:noWrap/>
            <w:vAlign w:val="center"/>
            <w:hideMark/>
          </w:tcPr>
          <w:p w14:paraId="7647E0DC" w14:textId="77777777" w:rsidR="00883B98" w:rsidRPr="001B11F1" w:rsidRDefault="00883B98" w:rsidP="00883B98">
            <w:pPr>
              <w:widowControl/>
              <w:jc w:val="right"/>
              <w:rPr>
                <w:rFonts w:ascii="Calibri" w:eastAsia="游ゴシック" w:hAnsi="Calibri" w:cs="Calibri"/>
                <w:color w:val="000000"/>
                <w:kern w:val="0"/>
                <w:sz w:val="20"/>
                <w:szCs w:val="20"/>
              </w:rPr>
            </w:pPr>
            <w:r w:rsidRPr="001B11F1">
              <w:rPr>
                <w:rFonts w:ascii="Calibri" w:eastAsia="游ゴシック" w:hAnsi="Calibri" w:cs="Calibri"/>
                <w:color w:val="000000"/>
                <w:kern w:val="0"/>
                <w:sz w:val="20"/>
                <w:szCs w:val="20"/>
              </w:rPr>
              <w:t xml:space="preserve">90,286 </w:t>
            </w:r>
          </w:p>
        </w:tc>
        <w:tc>
          <w:tcPr>
            <w:tcW w:w="1380" w:type="dxa"/>
            <w:tcBorders>
              <w:top w:val="single" w:sz="4" w:space="0" w:color="auto"/>
              <w:left w:val="nil"/>
              <w:bottom w:val="single" w:sz="4" w:space="0" w:color="auto"/>
              <w:right w:val="nil"/>
            </w:tcBorders>
            <w:shd w:val="clear" w:color="auto" w:fill="auto"/>
            <w:noWrap/>
            <w:vAlign w:val="center"/>
            <w:hideMark/>
          </w:tcPr>
          <w:p w14:paraId="3E8A4DA2" w14:textId="77777777" w:rsidR="00883B98" w:rsidRPr="001B11F1" w:rsidRDefault="00883B98" w:rsidP="00883B98">
            <w:pPr>
              <w:widowControl/>
              <w:jc w:val="right"/>
              <w:rPr>
                <w:rFonts w:ascii="Calibri" w:eastAsia="游ゴシック" w:hAnsi="Calibri" w:cs="Calibri"/>
                <w:color w:val="000000"/>
                <w:kern w:val="0"/>
                <w:sz w:val="20"/>
                <w:szCs w:val="20"/>
              </w:rPr>
            </w:pPr>
            <w:r w:rsidRPr="001B11F1">
              <w:rPr>
                <w:rFonts w:ascii="Calibri" w:eastAsia="游ゴシック" w:hAnsi="Calibri" w:cs="Calibri"/>
                <w:color w:val="000000"/>
                <w:kern w:val="0"/>
                <w:sz w:val="20"/>
                <w:szCs w:val="20"/>
              </w:rPr>
              <w:t xml:space="preserve">62,217 </w:t>
            </w:r>
          </w:p>
        </w:tc>
      </w:tr>
    </w:tbl>
    <w:p w14:paraId="4B307D9F" w14:textId="06212160" w:rsidR="0024372F" w:rsidRPr="0012638A" w:rsidRDefault="0024372F" w:rsidP="0024372F">
      <w:r>
        <w:rPr>
          <w:rFonts w:hint="eastAsia"/>
        </w:rPr>
        <w:t>出典：オリエンタルランド</w:t>
      </w:r>
      <w:r w:rsidR="00AF3BD8">
        <w:rPr>
          <w:rFonts w:hint="eastAsia"/>
        </w:rPr>
        <w:t>社</w:t>
      </w:r>
      <w:r>
        <w:rPr>
          <w:rFonts w:hint="eastAsia"/>
        </w:rPr>
        <w:t>「</w:t>
      </w:r>
      <w:r w:rsidR="00AF3BD8">
        <w:rPr>
          <w:rFonts w:hint="eastAsia"/>
        </w:rPr>
        <w:t>有価証券報告書</w:t>
      </w:r>
      <w:r>
        <w:rPr>
          <w:rFonts w:hint="eastAsia"/>
        </w:rPr>
        <w:t>」より筆者作成。</w:t>
      </w:r>
      <w:r w:rsidR="00B15EF4">
        <w:rPr>
          <w:rFonts w:hint="eastAsia"/>
        </w:rPr>
        <w:t>単位は百万円。</w:t>
      </w:r>
    </w:p>
    <w:p w14:paraId="66A481BA" w14:textId="77777777" w:rsidR="00883B98" w:rsidRPr="0024372F" w:rsidRDefault="00883B98" w:rsidP="006D42E6"/>
    <w:p w14:paraId="5011A95E" w14:textId="18980742" w:rsidR="006D42E6" w:rsidRPr="0012638A" w:rsidRDefault="002573EA" w:rsidP="006D42E6">
      <w:pPr>
        <w:rPr>
          <w:b/>
          <w:bCs/>
        </w:rPr>
      </w:pPr>
      <w:r>
        <w:rPr>
          <w:rFonts w:hint="eastAsia"/>
          <w:b/>
          <w:bCs/>
        </w:rPr>
        <w:t>2</w:t>
      </w:r>
      <w:r w:rsidR="00C01BB9">
        <w:rPr>
          <w:rFonts w:hint="eastAsia"/>
          <w:b/>
          <w:bCs/>
        </w:rPr>
        <w:t>－</w:t>
      </w:r>
      <w:r>
        <w:rPr>
          <w:rFonts w:hint="eastAsia"/>
          <w:b/>
          <w:bCs/>
        </w:rPr>
        <w:t>2</w:t>
      </w:r>
      <w:r w:rsidR="00C01BB9">
        <w:rPr>
          <w:rFonts w:hint="eastAsia"/>
          <w:b/>
          <w:bCs/>
        </w:rPr>
        <w:t>－</w:t>
      </w:r>
      <w:r>
        <w:rPr>
          <w:rFonts w:hint="eastAsia"/>
          <w:b/>
          <w:bCs/>
        </w:rPr>
        <w:t>2</w:t>
      </w:r>
      <w:r w:rsidR="006D42E6" w:rsidRPr="0012638A">
        <w:rPr>
          <w:rFonts w:hint="eastAsia"/>
          <w:b/>
          <w:bCs/>
        </w:rPr>
        <w:t>．財政状態</w:t>
      </w:r>
    </w:p>
    <w:p w14:paraId="509B4B19" w14:textId="4B8B02FB" w:rsidR="006D42E6" w:rsidRPr="001B6F39" w:rsidRDefault="006D42E6" w:rsidP="001B6F39">
      <w:pPr>
        <w:ind w:firstLineChars="100" w:firstLine="210"/>
      </w:pPr>
      <w:r>
        <w:rPr>
          <w:rFonts w:hint="eastAsia"/>
        </w:rPr>
        <w:t>表２</w:t>
      </w:r>
      <w:r w:rsidR="001C7908">
        <w:rPr>
          <w:rFonts w:hint="eastAsia"/>
        </w:rPr>
        <w:t>と表３</w:t>
      </w:r>
      <w:r>
        <w:rPr>
          <w:rFonts w:hint="eastAsia"/>
        </w:rPr>
        <w:t>は、貸借対照表の資産</w:t>
      </w:r>
      <w:r w:rsidR="001C7908">
        <w:rPr>
          <w:rFonts w:hint="eastAsia"/>
        </w:rPr>
        <w:t>・負債・純資産</w:t>
      </w:r>
      <w:r>
        <w:rPr>
          <w:rFonts w:hint="eastAsia"/>
        </w:rPr>
        <w:t>を一部抜粋してまとめたものである。</w:t>
      </w:r>
      <w:r w:rsidR="000214C0">
        <w:rPr>
          <w:rFonts w:hint="eastAsia"/>
        </w:rPr>
        <w:t>OLC</w:t>
      </w:r>
      <w:r w:rsidR="001C7908">
        <w:rPr>
          <w:rFonts w:hint="eastAsia"/>
        </w:rPr>
        <w:t>の総資産は約１兆円で、流動資産と固定資産の比率はおよそ３対７である。ここで、総資産額が2019年度と比較して400億円</w:t>
      </w:r>
      <w:r w:rsidR="008B7D41">
        <w:rPr>
          <w:rFonts w:hint="eastAsia"/>
        </w:rPr>
        <w:t>減少し、流動資産も約1300億円減少している。この点について、一見、新型コロナウイルスの影響かと思えるが、表２の固定資産額と表３の負債額をみると、固定資産は約840億円増加し、負債は約580億円減少しているため、流動資産はこれらのキャッシュアウトに使われたと考えるのが妥当である。事実、表４のキャッシュフロー計算書の投資</w:t>
      </w:r>
      <w:r w:rsidR="008B7D41">
        <w:t>CF</w:t>
      </w:r>
      <w:r w:rsidR="008B7D41">
        <w:rPr>
          <w:rFonts w:hint="eastAsia"/>
        </w:rPr>
        <w:t>と財務</w:t>
      </w:r>
      <w:r w:rsidR="008B7D41">
        <w:t>CF</w:t>
      </w:r>
      <w:r w:rsidR="008B7D41">
        <w:rPr>
          <w:rFonts w:hint="eastAsia"/>
        </w:rPr>
        <w:t>をみると、設備投資に約1400億円</w:t>
      </w:r>
      <w:r w:rsidR="001B6F39">
        <w:rPr>
          <w:rFonts w:hint="eastAsia"/>
        </w:rPr>
        <w:t>を支出し</w:t>
      </w:r>
      <w:r w:rsidR="008B7D41">
        <w:rPr>
          <w:rFonts w:hint="eastAsia"/>
        </w:rPr>
        <w:t>、</w:t>
      </w:r>
      <w:r w:rsidR="001B6F39">
        <w:rPr>
          <w:rFonts w:hint="eastAsia"/>
        </w:rPr>
        <w:t>財務活動による借入金の返済に約</w:t>
      </w:r>
      <w:r w:rsidR="00A51A7A">
        <w:rPr>
          <w:rFonts w:hint="eastAsia"/>
        </w:rPr>
        <w:t>550億円</w:t>
      </w:r>
      <w:r w:rsidR="001B6F39">
        <w:rPr>
          <w:rFonts w:hint="eastAsia"/>
        </w:rPr>
        <w:t>を支出している</w:t>
      </w:r>
      <w:r w:rsidR="00A51A7A">
        <w:rPr>
          <w:rFonts w:hint="eastAsia"/>
        </w:rPr>
        <w:t>。</w:t>
      </w:r>
    </w:p>
    <w:p w14:paraId="709CD0A6" w14:textId="77777777" w:rsidR="001C7908" w:rsidRDefault="001C7908" w:rsidP="000020A6">
      <w:pPr>
        <w:ind w:firstLineChars="100" w:firstLine="210"/>
      </w:pPr>
    </w:p>
    <w:p w14:paraId="4AFD76F3" w14:textId="49F7D6C4" w:rsidR="001C7908" w:rsidRPr="0012638A" w:rsidRDefault="0012638A" w:rsidP="00883B98">
      <w:r>
        <w:rPr>
          <w:rFonts w:hint="eastAsia"/>
        </w:rPr>
        <w:t>表２　オリエンタルランド</w:t>
      </w:r>
      <w:r w:rsidR="00DF1BDA">
        <w:rPr>
          <w:rFonts w:hint="eastAsia"/>
        </w:rPr>
        <w:t>社</w:t>
      </w:r>
      <w:r>
        <w:rPr>
          <w:rFonts w:hint="eastAsia"/>
        </w:rPr>
        <w:t>の貸借対照表：資産の部（2018年から2020年）</w:t>
      </w:r>
    </w:p>
    <w:tbl>
      <w:tblPr>
        <w:tblW w:w="8860" w:type="dxa"/>
        <w:tblCellMar>
          <w:left w:w="99" w:type="dxa"/>
          <w:right w:w="99" w:type="dxa"/>
        </w:tblCellMar>
        <w:tblLook w:val="04A0" w:firstRow="1" w:lastRow="0" w:firstColumn="1" w:lastColumn="0" w:noHBand="0" w:noVBand="1"/>
      </w:tblPr>
      <w:tblGrid>
        <w:gridCol w:w="4560"/>
        <w:gridCol w:w="1540"/>
        <w:gridCol w:w="1380"/>
        <w:gridCol w:w="1380"/>
      </w:tblGrid>
      <w:tr w:rsidR="006D42E6" w:rsidRPr="006D42E6" w14:paraId="3BF3E6AE" w14:textId="77777777" w:rsidTr="006D42E6">
        <w:trPr>
          <w:trHeight w:val="340"/>
        </w:trPr>
        <w:tc>
          <w:tcPr>
            <w:tcW w:w="4560" w:type="dxa"/>
            <w:tcBorders>
              <w:top w:val="single" w:sz="4" w:space="0" w:color="auto"/>
              <w:left w:val="nil"/>
              <w:bottom w:val="single" w:sz="4" w:space="0" w:color="auto"/>
              <w:right w:val="nil"/>
            </w:tcBorders>
            <w:shd w:val="clear" w:color="auto" w:fill="auto"/>
            <w:noWrap/>
            <w:vAlign w:val="center"/>
            <w:hideMark/>
          </w:tcPr>
          <w:p w14:paraId="78C931D9" w14:textId="1F43D80E" w:rsidR="006D42E6" w:rsidRPr="00C01BB9" w:rsidRDefault="00C01BB9" w:rsidP="006D42E6">
            <w:pPr>
              <w:widowControl/>
              <w:jc w:val="left"/>
              <w:rPr>
                <w:rFonts w:ascii="游ゴシック" w:eastAsia="游ゴシック" w:hAnsi="游ゴシック" w:cs="ＭＳ Ｐゴシック"/>
                <w:b/>
                <w:bCs/>
                <w:color w:val="000000"/>
                <w:kern w:val="0"/>
                <w:sz w:val="20"/>
                <w:szCs w:val="20"/>
              </w:rPr>
            </w:pPr>
            <w:r w:rsidRPr="00C01BB9">
              <w:rPr>
                <w:rFonts w:asciiTheme="minorEastAsia" w:hAnsiTheme="minorEastAsia" w:cs="ＭＳ Ｐゴシック" w:hint="eastAsia"/>
                <w:b/>
                <w:bCs/>
                <w:color w:val="000000"/>
                <w:kern w:val="0"/>
                <w:sz w:val="20"/>
                <w:szCs w:val="20"/>
              </w:rPr>
              <w:t>資産の部</w:t>
            </w:r>
          </w:p>
        </w:tc>
        <w:tc>
          <w:tcPr>
            <w:tcW w:w="1540" w:type="dxa"/>
            <w:tcBorders>
              <w:top w:val="single" w:sz="4" w:space="0" w:color="auto"/>
              <w:left w:val="nil"/>
              <w:bottom w:val="single" w:sz="4" w:space="0" w:color="auto"/>
              <w:right w:val="nil"/>
            </w:tcBorders>
            <w:shd w:val="clear" w:color="auto" w:fill="auto"/>
            <w:noWrap/>
            <w:vAlign w:val="center"/>
            <w:hideMark/>
          </w:tcPr>
          <w:p w14:paraId="598A4F69" w14:textId="77777777" w:rsidR="006D42E6" w:rsidRPr="00C74F0E" w:rsidRDefault="006D42E6" w:rsidP="006D42E6">
            <w:pPr>
              <w:widowControl/>
              <w:jc w:val="center"/>
              <w:rPr>
                <w:rFonts w:ascii="Century" w:eastAsia="游ゴシック" w:hAnsi="Century" w:cs="ＭＳ Ｐゴシック"/>
                <w:b/>
                <w:bCs/>
                <w:color w:val="000000"/>
                <w:kern w:val="0"/>
                <w:sz w:val="20"/>
                <w:szCs w:val="20"/>
              </w:rPr>
            </w:pPr>
            <w:r w:rsidRPr="00C74F0E">
              <w:rPr>
                <w:rFonts w:ascii="Century" w:eastAsia="游ゴシック" w:hAnsi="Century" w:cs="ＭＳ Ｐゴシック"/>
                <w:b/>
                <w:bCs/>
                <w:color w:val="000000"/>
                <w:kern w:val="0"/>
                <w:sz w:val="20"/>
                <w:szCs w:val="20"/>
              </w:rPr>
              <w:t>2018</w:t>
            </w:r>
          </w:p>
        </w:tc>
        <w:tc>
          <w:tcPr>
            <w:tcW w:w="1380" w:type="dxa"/>
            <w:tcBorders>
              <w:top w:val="single" w:sz="4" w:space="0" w:color="auto"/>
              <w:left w:val="nil"/>
              <w:bottom w:val="single" w:sz="4" w:space="0" w:color="auto"/>
              <w:right w:val="nil"/>
            </w:tcBorders>
            <w:shd w:val="clear" w:color="auto" w:fill="auto"/>
            <w:noWrap/>
            <w:vAlign w:val="center"/>
            <w:hideMark/>
          </w:tcPr>
          <w:p w14:paraId="2A155978" w14:textId="77777777" w:rsidR="006D42E6" w:rsidRPr="00C74F0E" w:rsidRDefault="006D42E6" w:rsidP="006D42E6">
            <w:pPr>
              <w:widowControl/>
              <w:jc w:val="center"/>
              <w:rPr>
                <w:rFonts w:ascii="Century" w:eastAsia="游ゴシック" w:hAnsi="Century" w:cs="ＭＳ Ｐゴシック"/>
                <w:b/>
                <w:bCs/>
                <w:color w:val="000000"/>
                <w:kern w:val="0"/>
                <w:sz w:val="20"/>
                <w:szCs w:val="20"/>
              </w:rPr>
            </w:pPr>
            <w:r w:rsidRPr="00C74F0E">
              <w:rPr>
                <w:rFonts w:ascii="Century" w:eastAsia="游ゴシック" w:hAnsi="Century" w:cs="ＭＳ Ｐゴシック"/>
                <w:b/>
                <w:bCs/>
                <w:color w:val="000000"/>
                <w:kern w:val="0"/>
                <w:sz w:val="20"/>
                <w:szCs w:val="20"/>
              </w:rPr>
              <w:t>2019</w:t>
            </w:r>
          </w:p>
        </w:tc>
        <w:tc>
          <w:tcPr>
            <w:tcW w:w="1380" w:type="dxa"/>
            <w:tcBorders>
              <w:top w:val="single" w:sz="4" w:space="0" w:color="auto"/>
              <w:left w:val="nil"/>
              <w:bottom w:val="single" w:sz="4" w:space="0" w:color="auto"/>
              <w:right w:val="nil"/>
            </w:tcBorders>
            <w:shd w:val="clear" w:color="auto" w:fill="auto"/>
            <w:noWrap/>
            <w:vAlign w:val="center"/>
            <w:hideMark/>
          </w:tcPr>
          <w:p w14:paraId="101620C5" w14:textId="77777777" w:rsidR="006D42E6" w:rsidRPr="00C74F0E" w:rsidRDefault="006D42E6" w:rsidP="006D42E6">
            <w:pPr>
              <w:widowControl/>
              <w:jc w:val="center"/>
              <w:rPr>
                <w:rFonts w:ascii="Century" w:eastAsia="游ゴシック" w:hAnsi="Century" w:cs="ＭＳ Ｐゴシック"/>
                <w:b/>
                <w:bCs/>
                <w:color w:val="000000"/>
                <w:kern w:val="0"/>
                <w:sz w:val="20"/>
                <w:szCs w:val="20"/>
              </w:rPr>
            </w:pPr>
            <w:r w:rsidRPr="00C74F0E">
              <w:rPr>
                <w:rFonts w:ascii="Century" w:eastAsia="游ゴシック" w:hAnsi="Century" w:cs="ＭＳ Ｐゴシック"/>
                <w:b/>
                <w:bCs/>
                <w:color w:val="000000"/>
                <w:kern w:val="0"/>
                <w:sz w:val="20"/>
                <w:szCs w:val="20"/>
              </w:rPr>
              <w:t>2020</w:t>
            </w:r>
          </w:p>
        </w:tc>
      </w:tr>
      <w:tr w:rsidR="006D42E6" w:rsidRPr="006D42E6" w14:paraId="7ADF88C6" w14:textId="77777777" w:rsidTr="006D42E6">
        <w:trPr>
          <w:trHeight w:val="340"/>
        </w:trPr>
        <w:tc>
          <w:tcPr>
            <w:tcW w:w="4560" w:type="dxa"/>
            <w:tcBorders>
              <w:top w:val="nil"/>
              <w:left w:val="nil"/>
              <w:bottom w:val="nil"/>
              <w:right w:val="nil"/>
            </w:tcBorders>
            <w:shd w:val="clear" w:color="auto" w:fill="auto"/>
            <w:noWrap/>
            <w:vAlign w:val="center"/>
            <w:hideMark/>
          </w:tcPr>
          <w:p w14:paraId="0B009A37" w14:textId="77777777" w:rsidR="006D42E6" w:rsidRPr="001B11F1" w:rsidRDefault="006D42E6" w:rsidP="006D42E6">
            <w:pPr>
              <w:widowControl/>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流動資産</w:t>
            </w:r>
          </w:p>
        </w:tc>
        <w:tc>
          <w:tcPr>
            <w:tcW w:w="1540" w:type="dxa"/>
            <w:tcBorders>
              <w:top w:val="nil"/>
              <w:left w:val="nil"/>
              <w:bottom w:val="nil"/>
              <w:right w:val="nil"/>
            </w:tcBorders>
            <w:shd w:val="clear" w:color="auto" w:fill="auto"/>
            <w:noWrap/>
            <w:vAlign w:val="center"/>
            <w:hideMark/>
          </w:tcPr>
          <w:p w14:paraId="3128F0B8" w14:textId="77777777" w:rsidR="006D42E6" w:rsidRPr="00C74F0E" w:rsidRDefault="006D42E6" w:rsidP="006D42E6">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359,134 </w:t>
            </w:r>
          </w:p>
        </w:tc>
        <w:tc>
          <w:tcPr>
            <w:tcW w:w="1380" w:type="dxa"/>
            <w:tcBorders>
              <w:top w:val="nil"/>
              <w:left w:val="nil"/>
              <w:bottom w:val="nil"/>
              <w:right w:val="nil"/>
            </w:tcBorders>
            <w:shd w:val="clear" w:color="auto" w:fill="auto"/>
            <w:noWrap/>
            <w:vAlign w:val="center"/>
            <w:hideMark/>
          </w:tcPr>
          <w:p w14:paraId="0AA79A4A" w14:textId="77777777" w:rsidR="006D42E6" w:rsidRPr="00C74F0E" w:rsidRDefault="006D42E6" w:rsidP="006D42E6">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441,835 </w:t>
            </w:r>
          </w:p>
        </w:tc>
        <w:tc>
          <w:tcPr>
            <w:tcW w:w="1380" w:type="dxa"/>
            <w:tcBorders>
              <w:top w:val="nil"/>
              <w:left w:val="nil"/>
              <w:bottom w:val="nil"/>
              <w:right w:val="nil"/>
            </w:tcBorders>
            <w:shd w:val="clear" w:color="auto" w:fill="auto"/>
            <w:noWrap/>
            <w:vAlign w:val="center"/>
            <w:hideMark/>
          </w:tcPr>
          <w:p w14:paraId="5AD6BB62" w14:textId="77777777" w:rsidR="006D42E6" w:rsidRPr="00C74F0E" w:rsidRDefault="006D42E6" w:rsidP="006D42E6">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316,741 </w:t>
            </w:r>
          </w:p>
        </w:tc>
      </w:tr>
      <w:tr w:rsidR="006D42E6" w:rsidRPr="006D42E6" w14:paraId="5DDAD51C" w14:textId="77777777" w:rsidTr="006D42E6">
        <w:trPr>
          <w:trHeight w:val="340"/>
        </w:trPr>
        <w:tc>
          <w:tcPr>
            <w:tcW w:w="4560" w:type="dxa"/>
            <w:tcBorders>
              <w:top w:val="nil"/>
              <w:left w:val="nil"/>
              <w:bottom w:val="nil"/>
              <w:right w:val="nil"/>
            </w:tcBorders>
            <w:shd w:val="clear" w:color="auto" w:fill="auto"/>
            <w:noWrap/>
            <w:vAlign w:val="center"/>
            <w:hideMark/>
          </w:tcPr>
          <w:p w14:paraId="6C8EFC87" w14:textId="77777777" w:rsidR="006D42E6" w:rsidRPr="001B11F1" w:rsidRDefault="006D42E6" w:rsidP="006D42E6">
            <w:pPr>
              <w:widowControl/>
              <w:ind w:firstLineChars="100" w:firstLine="200"/>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現金及び預金</w:t>
            </w:r>
          </w:p>
        </w:tc>
        <w:tc>
          <w:tcPr>
            <w:tcW w:w="1540" w:type="dxa"/>
            <w:tcBorders>
              <w:top w:val="nil"/>
              <w:left w:val="nil"/>
              <w:bottom w:val="nil"/>
              <w:right w:val="nil"/>
            </w:tcBorders>
            <w:shd w:val="clear" w:color="auto" w:fill="auto"/>
            <w:noWrap/>
            <w:vAlign w:val="center"/>
            <w:hideMark/>
          </w:tcPr>
          <w:p w14:paraId="447AB6C3" w14:textId="77777777" w:rsidR="006D42E6" w:rsidRPr="00C74F0E" w:rsidRDefault="006D42E6" w:rsidP="006D42E6">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296,350 </w:t>
            </w:r>
          </w:p>
        </w:tc>
        <w:tc>
          <w:tcPr>
            <w:tcW w:w="1380" w:type="dxa"/>
            <w:tcBorders>
              <w:top w:val="nil"/>
              <w:left w:val="nil"/>
              <w:bottom w:val="nil"/>
              <w:right w:val="nil"/>
            </w:tcBorders>
            <w:shd w:val="clear" w:color="auto" w:fill="auto"/>
            <w:noWrap/>
            <w:vAlign w:val="center"/>
            <w:hideMark/>
          </w:tcPr>
          <w:p w14:paraId="32C22A16" w14:textId="77777777" w:rsidR="006D42E6" w:rsidRPr="00C74F0E" w:rsidRDefault="006D42E6" w:rsidP="006D42E6">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377,551 </w:t>
            </w:r>
          </w:p>
        </w:tc>
        <w:tc>
          <w:tcPr>
            <w:tcW w:w="1380" w:type="dxa"/>
            <w:tcBorders>
              <w:top w:val="nil"/>
              <w:left w:val="nil"/>
              <w:bottom w:val="nil"/>
              <w:right w:val="nil"/>
            </w:tcBorders>
            <w:shd w:val="clear" w:color="auto" w:fill="auto"/>
            <w:noWrap/>
            <w:vAlign w:val="center"/>
            <w:hideMark/>
          </w:tcPr>
          <w:p w14:paraId="5DD56043" w14:textId="77777777" w:rsidR="006D42E6" w:rsidRPr="00C74F0E" w:rsidRDefault="006D42E6" w:rsidP="006D42E6">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261,164 </w:t>
            </w:r>
          </w:p>
        </w:tc>
      </w:tr>
      <w:tr w:rsidR="006D42E6" w:rsidRPr="006D42E6" w14:paraId="58806C72" w14:textId="77777777" w:rsidTr="006D42E6">
        <w:trPr>
          <w:trHeight w:val="340"/>
        </w:trPr>
        <w:tc>
          <w:tcPr>
            <w:tcW w:w="4560" w:type="dxa"/>
            <w:tcBorders>
              <w:top w:val="nil"/>
              <w:left w:val="nil"/>
              <w:bottom w:val="nil"/>
              <w:right w:val="nil"/>
            </w:tcBorders>
            <w:shd w:val="clear" w:color="auto" w:fill="auto"/>
            <w:noWrap/>
            <w:vAlign w:val="center"/>
            <w:hideMark/>
          </w:tcPr>
          <w:p w14:paraId="2F2E8D28" w14:textId="77777777" w:rsidR="006D42E6" w:rsidRPr="001B11F1" w:rsidRDefault="006D42E6" w:rsidP="006D42E6">
            <w:pPr>
              <w:widowControl/>
              <w:ind w:firstLineChars="100" w:firstLine="200"/>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売掛金および受取手形</w:t>
            </w:r>
          </w:p>
        </w:tc>
        <w:tc>
          <w:tcPr>
            <w:tcW w:w="1540" w:type="dxa"/>
            <w:tcBorders>
              <w:top w:val="nil"/>
              <w:left w:val="nil"/>
              <w:bottom w:val="nil"/>
              <w:right w:val="nil"/>
            </w:tcBorders>
            <w:shd w:val="clear" w:color="auto" w:fill="auto"/>
            <w:noWrap/>
            <w:vAlign w:val="center"/>
            <w:hideMark/>
          </w:tcPr>
          <w:p w14:paraId="27EA0648" w14:textId="77777777" w:rsidR="006D42E6" w:rsidRPr="00C74F0E" w:rsidRDefault="006D42E6" w:rsidP="006D42E6">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19,990 </w:t>
            </w:r>
          </w:p>
        </w:tc>
        <w:tc>
          <w:tcPr>
            <w:tcW w:w="1380" w:type="dxa"/>
            <w:tcBorders>
              <w:top w:val="nil"/>
              <w:left w:val="nil"/>
              <w:bottom w:val="nil"/>
              <w:right w:val="nil"/>
            </w:tcBorders>
            <w:shd w:val="clear" w:color="auto" w:fill="auto"/>
            <w:noWrap/>
            <w:vAlign w:val="center"/>
            <w:hideMark/>
          </w:tcPr>
          <w:p w14:paraId="57FFCE53" w14:textId="77777777" w:rsidR="006D42E6" w:rsidRPr="00C74F0E" w:rsidRDefault="006D42E6" w:rsidP="006D42E6">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22,083 </w:t>
            </w:r>
          </w:p>
        </w:tc>
        <w:tc>
          <w:tcPr>
            <w:tcW w:w="1380" w:type="dxa"/>
            <w:tcBorders>
              <w:top w:val="nil"/>
              <w:left w:val="nil"/>
              <w:bottom w:val="nil"/>
              <w:right w:val="nil"/>
            </w:tcBorders>
            <w:shd w:val="clear" w:color="auto" w:fill="auto"/>
            <w:noWrap/>
            <w:vAlign w:val="center"/>
            <w:hideMark/>
          </w:tcPr>
          <w:p w14:paraId="0B9B1BA6" w14:textId="77777777" w:rsidR="006D42E6" w:rsidRPr="00C74F0E" w:rsidRDefault="006D42E6" w:rsidP="006D42E6">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7,225 </w:t>
            </w:r>
          </w:p>
        </w:tc>
      </w:tr>
      <w:tr w:rsidR="006D42E6" w:rsidRPr="006D42E6" w14:paraId="7C39FF17" w14:textId="77777777" w:rsidTr="006D42E6">
        <w:trPr>
          <w:trHeight w:val="340"/>
        </w:trPr>
        <w:tc>
          <w:tcPr>
            <w:tcW w:w="4560" w:type="dxa"/>
            <w:tcBorders>
              <w:top w:val="nil"/>
              <w:left w:val="nil"/>
              <w:bottom w:val="nil"/>
              <w:right w:val="nil"/>
            </w:tcBorders>
            <w:shd w:val="clear" w:color="auto" w:fill="auto"/>
            <w:noWrap/>
            <w:vAlign w:val="center"/>
            <w:hideMark/>
          </w:tcPr>
          <w:p w14:paraId="51CD33A5" w14:textId="77777777" w:rsidR="006D42E6" w:rsidRPr="001B11F1" w:rsidRDefault="006D42E6" w:rsidP="006D42E6">
            <w:pPr>
              <w:widowControl/>
              <w:ind w:firstLineChars="100" w:firstLine="200"/>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製品および仕掛品</w:t>
            </w:r>
          </w:p>
        </w:tc>
        <w:tc>
          <w:tcPr>
            <w:tcW w:w="1540" w:type="dxa"/>
            <w:tcBorders>
              <w:top w:val="nil"/>
              <w:left w:val="nil"/>
              <w:bottom w:val="nil"/>
              <w:right w:val="nil"/>
            </w:tcBorders>
            <w:shd w:val="clear" w:color="auto" w:fill="auto"/>
            <w:noWrap/>
            <w:vAlign w:val="center"/>
            <w:hideMark/>
          </w:tcPr>
          <w:p w14:paraId="48431FCD" w14:textId="77777777" w:rsidR="006D42E6" w:rsidRPr="00C74F0E" w:rsidRDefault="006D42E6" w:rsidP="006D42E6">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17,972 </w:t>
            </w:r>
          </w:p>
        </w:tc>
        <w:tc>
          <w:tcPr>
            <w:tcW w:w="1380" w:type="dxa"/>
            <w:tcBorders>
              <w:top w:val="nil"/>
              <w:left w:val="nil"/>
              <w:bottom w:val="nil"/>
              <w:right w:val="nil"/>
            </w:tcBorders>
            <w:shd w:val="clear" w:color="auto" w:fill="auto"/>
            <w:noWrap/>
            <w:vAlign w:val="center"/>
            <w:hideMark/>
          </w:tcPr>
          <w:p w14:paraId="5227D3AA" w14:textId="77777777" w:rsidR="006D42E6" w:rsidRPr="00C74F0E" w:rsidRDefault="006D42E6" w:rsidP="006D42E6">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17,323 </w:t>
            </w:r>
          </w:p>
        </w:tc>
        <w:tc>
          <w:tcPr>
            <w:tcW w:w="1380" w:type="dxa"/>
            <w:tcBorders>
              <w:top w:val="nil"/>
              <w:left w:val="nil"/>
              <w:bottom w:val="nil"/>
              <w:right w:val="nil"/>
            </w:tcBorders>
            <w:shd w:val="clear" w:color="auto" w:fill="auto"/>
            <w:noWrap/>
            <w:vAlign w:val="center"/>
            <w:hideMark/>
          </w:tcPr>
          <w:p w14:paraId="5CEFF294" w14:textId="77777777" w:rsidR="006D42E6" w:rsidRPr="00C74F0E" w:rsidRDefault="006D42E6" w:rsidP="006D42E6">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20,087 </w:t>
            </w:r>
          </w:p>
        </w:tc>
      </w:tr>
      <w:tr w:rsidR="006D42E6" w:rsidRPr="006D42E6" w14:paraId="6D4DE0CE" w14:textId="77777777" w:rsidTr="006D42E6">
        <w:trPr>
          <w:trHeight w:val="340"/>
        </w:trPr>
        <w:tc>
          <w:tcPr>
            <w:tcW w:w="4560" w:type="dxa"/>
            <w:tcBorders>
              <w:top w:val="nil"/>
              <w:left w:val="nil"/>
              <w:bottom w:val="nil"/>
              <w:right w:val="nil"/>
            </w:tcBorders>
            <w:shd w:val="clear" w:color="auto" w:fill="auto"/>
            <w:noWrap/>
            <w:vAlign w:val="center"/>
            <w:hideMark/>
          </w:tcPr>
          <w:p w14:paraId="57FC01B3" w14:textId="77777777" w:rsidR="006D42E6" w:rsidRPr="001B11F1" w:rsidRDefault="006D42E6" w:rsidP="006D42E6">
            <w:pPr>
              <w:widowControl/>
              <w:ind w:firstLineChars="100" w:firstLine="200"/>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その他の流動資産</w:t>
            </w:r>
          </w:p>
        </w:tc>
        <w:tc>
          <w:tcPr>
            <w:tcW w:w="1540" w:type="dxa"/>
            <w:tcBorders>
              <w:top w:val="nil"/>
              <w:left w:val="nil"/>
              <w:bottom w:val="nil"/>
              <w:right w:val="nil"/>
            </w:tcBorders>
            <w:shd w:val="clear" w:color="auto" w:fill="auto"/>
            <w:noWrap/>
            <w:vAlign w:val="center"/>
            <w:hideMark/>
          </w:tcPr>
          <w:p w14:paraId="79DA230A" w14:textId="77777777" w:rsidR="006D42E6" w:rsidRPr="00C74F0E" w:rsidRDefault="006D42E6" w:rsidP="006D42E6">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24,822 </w:t>
            </w:r>
          </w:p>
        </w:tc>
        <w:tc>
          <w:tcPr>
            <w:tcW w:w="1380" w:type="dxa"/>
            <w:tcBorders>
              <w:top w:val="nil"/>
              <w:left w:val="nil"/>
              <w:bottom w:val="nil"/>
              <w:right w:val="nil"/>
            </w:tcBorders>
            <w:shd w:val="clear" w:color="auto" w:fill="auto"/>
            <w:noWrap/>
            <w:vAlign w:val="center"/>
            <w:hideMark/>
          </w:tcPr>
          <w:p w14:paraId="407F2FDE" w14:textId="77777777" w:rsidR="006D42E6" w:rsidRPr="00C74F0E" w:rsidRDefault="006D42E6" w:rsidP="006D42E6">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24,878 </w:t>
            </w:r>
          </w:p>
        </w:tc>
        <w:tc>
          <w:tcPr>
            <w:tcW w:w="1380" w:type="dxa"/>
            <w:tcBorders>
              <w:top w:val="nil"/>
              <w:left w:val="nil"/>
              <w:bottom w:val="nil"/>
              <w:right w:val="nil"/>
            </w:tcBorders>
            <w:shd w:val="clear" w:color="auto" w:fill="auto"/>
            <w:noWrap/>
            <w:vAlign w:val="center"/>
            <w:hideMark/>
          </w:tcPr>
          <w:p w14:paraId="6A5C2D97" w14:textId="77777777" w:rsidR="006D42E6" w:rsidRPr="00C74F0E" w:rsidRDefault="006D42E6" w:rsidP="006D42E6">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28,265 </w:t>
            </w:r>
          </w:p>
        </w:tc>
      </w:tr>
      <w:tr w:rsidR="006D42E6" w:rsidRPr="006D42E6" w14:paraId="4C0FB5A0" w14:textId="77777777" w:rsidTr="001C7908">
        <w:trPr>
          <w:trHeight w:val="340"/>
        </w:trPr>
        <w:tc>
          <w:tcPr>
            <w:tcW w:w="4560" w:type="dxa"/>
            <w:tcBorders>
              <w:top w:val="nil"/>
              <w:left w:val="nil"/>
              <w:bottom w:val="single" w:sz="4" w:space="0" w:color="auto"/>
              <w:right w:val="nil"/>
            </w:tcBorders>
            <w:shd w:val="clear" w:color="auto" w:fill="auto"/>
            <w:noWrap/>
            <w:vAlign w:val="center"/>
            <w:hideMark/>
          </w:tcPr>
          <w:p w14:paraId="5FB62EB4" w14:textId="77777777" w:rsidR="006D42E6" w:rsidRPr="001B11F1" w:rsidRDefault="006D42E6" w:rsidP="006D42E6">
            <w:pPr>
              <w:widowControl/>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固定資産</w:t>
            </w:r>
          </w:p>
        </w:tc>
        <w:tc>
          <w:tcPr>
            <w:tcW w:w="1540" w:type="dxa"/>
            <w:tcBorders>
              <w:top w:val="nil"/>
              <w:left w:val="nil"/>
              <w:bottom w:val="single" w:sz="4" w:space="0" w:color="auto"/>
              <w:right w:val="nil"/>
            </w:tcBorders>
            <w:shd w:val="clear" w:color="auto" w:fill="auto"/>
            <w:noWrap/>
            <w:vAlign w:val="center"/>
            <w:hideMark/>
          </w:tcPr>
          <w:p w14:paraId="6B2A9092" w14:textId="77777777" w:rsidR="006D42E6" w:rsidRPr="00C74F0E" w:rsidRDefault="006D42E6" w:rsidP="006D42E6">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551,539 </w:t>
            </w:r>
          </w:p>
        </w:tc>
        <w:tc>
          <w:tcPr>
            <w:tcW w:w="1380" w:type="dxa"/>
            <w:tcBorders>
              <w:top w:val="nil"/>
              <w:left w:val="nil"/>
              <w:bottom w:val="single" w:sz="4" w:space="0" w:color="auto"/>
              <w:right w:val="nil"/>
            </w:tcBorders>
            <w:shd w:val="clear" w:color="auto" w:fill="auto"/>
            <w:noWrap/>
            <w:vAlign w:val="center"/>
            <w:hideMark/>
          </w:tcPr>
          <w:p w14:paraId="5AF9216E" w14:textId="77777777" w:rsidR="006D42E6" w:rsidRPr="00C74F0E" w:rsidRDefault="006D42E6" w:rsidP="006D42E6">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609,620 </w:t>
            </w:r>
          </w:p>
        </w:tc>
        <w:tc>
          <w:tcPr>
            <w:tcW w:w="1380" w:type="dxa"/>
            <w:tcBorders>
              <w:top w:val="nil"/>
              <w:left w:val="nil"/>
              <w:bottom w:val="single" w:sz="4" w:space="0" w:color="auto"/>
              <w:right w:val="nil"/>
            </w:tcBorders>
            <w:shd w:val="clear" w:color="auto" w:fill="auto"/>
            <w:noWrap/>
            <w:vAlign w:val="center"/>
            <w:hideMark/>
          </w:tcPr>
          <w:p w14:paraId="2284647C" w14:textId="77777777" w:rsidR="006D42E6" w:rsidRPr="00C74F0E" w:rsidRDefault="006D42E6" w:rsidP="006D42E6">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693,910 </w:t>
            </w:r>
          </w:p>
        </w:tc>
      </w:tr>
      <w:tr w:rsidR="006D42E6" w:rsidRPr="006D42E6" w14:paraId="65A7D2B7" w14:textId="77777777" w:rsidTr="001C7908">
        <w:trPr>
          <w:trHeight w:val="340"/>
        </w:trPr>
        <w:tc>
          <w:tcPr>
            <w:tcW w:w="4560" w:type="dxa"/>
            <w:tcBorders>
              <w:top w:val="single" w:sz="4" w:space="0" w:color="auto"/>
              <w:left w:val="nil"/>
              <w:bottom w:val="single" w:sz="4" w:space="0" w:color="auto"/>
              <w:right w:val="nil"/>
            </w:tcBorders>
            <w:shd w:val="clear" w:color="auto" w:fill="auto"/>
            <w:noWrap/>
            <w:vAlign w:val="center"/>
            <w:hideMark/>
          </w:tcPr>
          <w:p w14:paraId="11B78708" w14:textId="77777777" w:rsidR="006D42E6" w:rsidRPr="001B11F1" w:rsidRDefault="006D42E6" w:rsidP="006D42E6">
            <w:pPr>
              <w:widowControl/>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総資産</w:t>
            </w:r>
          </w:p>
        </w:tc>
        <w:tc>
          <w:tcPr>
            <w:tcW w:w="1540" w:type="dxa"/>
            <w:tcBorders>
              <w:top w:val="single" w:sz="4" w:space="0" w:color="auto"/>
              <w:left w:val="nil"/>
              <w:bottom w:val="single" w:sz="4" w:space="0" w:color="auto"/>
              <w:right w:val="nil"/>
            </w:tcBorders>
            <w:shd w:val="clear" w:color="auto" w:fill="auto"/>
            <w:noWrap/>
            <w:vAlign w:val="center"/>
            <w:hideMark/>
          </w:tcPr>
          <w:p w14:paraId="48C3F175" w14:textId="77777777" w:rsidR="006D42E6" w:rsidRPr="00C74F0E" w:rsidRDefault="006D42E6" w:rsidP="006D42E6">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910,673 </w:t>
            </w:r>
          </w:p>
        </w:tc>
        <w:tc>
          <w:tcPr>
            <w:tcW w:w="1380" w:type="dxa"/>
            <w:tcBorders>
              <w:top w:val="single" w:sz="4" w:space="0" w:color="auto"/>
              <w:left w:val="nil"/>
              <w:bottom w:val="single" w:sz="4" w:space="0" w:color="auto"/>
              <w:right w:val="nil"/>
            </w:tcBorders>
            <w:shd w:val="clear" w:color="auto" w:fill="auto"/>
            <w:noWrap/>
            <w:vAlign w:val="center"/>
            <w:hideMark/>
          </w:tcPr>
          <w:p w14:paraId="2012EE25" w14:textId="77777777" w:rsidR="006D42E6" w:rsidRPr="00C74F0E" w:rsidRDefault="006D42E6" w:rsidP="006D42E6">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1,051,455 </w:t>
            </w:r>
          </w:p>
        </w:tc>
        <w:tc>
          <w:tcPr>
            <w:tcW w:w="1380" w:type="dxa"/>
            <w:tcBorders>
              <w:top w:val="single" w:sz="4" w:space="0" w:color="auto"/>
              <w:left w:val="nil"/>
              <w:bottom w:val="single" w:sz="4" w:space="0" w:color="auto"/>
              <w:right w:val="nil"/>
            </w:tcBorders>
            <w:shd w:val="clear" w:color="auto" w:fill="auto"/>
            <w:noWrap/>
            <w:vAlign w:val="center"/>
            <w:hideMark/>
          </w:tcPr>
          <w:p w14:paraId="1146D6B7" w14:textId="77777777" w:rsidR="006D42E6" w:rsidRPr="00C74F0E" w:rsidRDefault="006D42E6" w:rsidP="006D42E6">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1,010,651 </w:t>
            </w:r>
          </w:p>
        </w:tc>
      </w:tr>
    </w:tbl>
    <w:p w14:paraId="5EED2850" w14:textId="1B855B46" w:rsidR="0024372F" w:rsidRDefault="0024372F" w:rsidP="0024372F">
      <w:r>
        <w:rPr>
          <w:rFonts w:hint="eastAsia"/>
        </w:rPr>
        <w:t>出典：オリエンタルランド</w:t>
      </w:r>
      <w:r w:rsidR="00AF3BD8">
        <w:rPr>
          <w:rFonts w:hint="eastAsia"/>
        </w:rPr>
        <w:t>社「有価証券報告書」</w:t>
      </w:r>
      <w:r>
        <w:rPr>
          <w:rFonts w:hint="eastAsia"/>
        </w:rPr>
        <w:t>より筆者作成。</w:t>
      </w:r>
      <w:r w:rsidR="00B15EF4">
        <w:rPr>
          <w:rFonts w:hint="eastAsia"/>
        </w:rPr>
        <w:t>単位は百万円。</w:t>
      </w:r>
    </w:p>
    <w:p w14:paraId="6E0E0865" w14:textId="77777777" w:rsidR="00C01BB9" w:rsidRPr="0012638A" w:rsidRDefault="00C01BB9" w:rsidP="0024372F"/>
    <w:p w14:paraId="5B08A7A3" w14:textId="58185841" w:rsidR="0012638A" w:rsidRDefault="0012638A" w:rsidP="0012638A">
      <w:r>
        <w:rPr>
          <w:rFonts w:hint="eastAsia"/>
        </w:rPr>
        <w:t>表３　オリエンタルランド</w:t>
      </w:r>
      <w:r w:rsidR="00DF1BDA">
        <w:rPr>
          <w:rFonts w:hint="eastAsia"/>
        </w:rPr>
        <w:t>社</w:t>
      </w:r>
      <w:r>
        <w:rPr>
          <w:rFonts w:hint="eastAsia"/>
        </w:rPr>
        <w:t>の貸借対照表：負債・純資産の部（2018年から2020年）</w:t>
      </w:r>
    </w:p>
    <w:tbl>
      <w:tblPr>
        <w:tblW w:w="8860" w:type="dxa"/>
        <w:tblCellMar>
          <w:left w:w="99" w:type="dxa"/>
          <w:right w:w="99" w:type="dxa"/>
        </w:tblCellMar>
        <w:tblLook w:val="04A0" w:firstRow="1" w:lastRow="0" w:firstColumn="1" w:lastColumn="0" w:noHBand="0" w:noVBand="1"/>
      </w:tblPr>
      <w:tblGrid>
        <w:gridCol w:w="4560"/>
        <w:gridCol w:w="1540"/>
        <w:gridCol w:w="1380"/>
        <w:gridCol w:w="1380"/>
      </w:tblGrid>
      <w:tr w:rsidR="0012638A" w:rsidRPr="0012638A" w14:paraId="1DB53610" w14:textId="77777777" w:rsidTr="0012638A">
        <w:trPr>
          <w:trHeight w:val="340"/>
        </w:trPr>
        <w:tc>
          <w:tcPr>
            <w:tcW w:w="4560" w:type="dxa"/>
            <w:tcBorders>
              <w:top w:val="single" w:sz="4" w:space="0" w:color="auto"/>
              <w:left w:val="nil"/>
              <w:bottom w:val="single" w:sz="4" w:space="0" w:color="auto"/>
              <w:right w:val="nil"/>
            </w:tcBorders>
            <w:shd w:val="clear" w:color="auto" w:fill="auto"/>
            <w:noWrap/>
            <w:vAlign w:val="center"/>
            <w:hideMark/>
          </w:tcPr>
          <w:p w14:paraId="7613FB0B" w14:textId="5125CCD5" w:rsidR="0012638A" w:rsidRPr="00C01BB9" w:rsidRDefault="00C01BB9" w:rsidP="0012638A">
            <w:pPr>
              <w:widowControl/>
              <w:jc w:val="left"/>
              <w:rPr>
                <w:rFonts w:ascii="游ゴシック" w:eastAsia="游ゴシック" w:hAnsi="游ゴシック" w:cs="ＭＳ Ｐゴシック"/>
                <w:b/>
                <w:bCs/>
                <w:color w:val="000000"/>
                <w:kern w:val="0"/>
                <w:sz w:val="20"/>
                <w:szCs w:val="20"/>
              </w:rPr>
            </w:pPr>
            <w:r w:rsidRPr="00C01BB9">
              <w:rPr>
                <w:rFonts w:asciiTheme="minorEastAsia" w:hAnsiTheme="minorEastAsia" w:cs="ＭＳ Ｐゴシック" w:hint="eastAsia"/>
                <w:b/>
                <w:bCs/>
                <w:color w:val="000000"/>
                <w:kern w:val="0"/>
                <w:sz w:val="20"/>
                <w:szCs w:val="20"/>
              </w:rPr>
              <w:t>負債・純資産</w:t>
            </w:r>
            <w:r w:rsidR="00C74F0E">
              <w:rPr>
                <w:rFonts w:asciiTheme="minorEastAsia" w:hAnsiTheme="minorEastAsia" w:cs="ＭＳ Ｐゴシック" w:hint="eastAsia"/>
                <w:b/>
                <w:bCs/>
                <w:color w:val="000000"/>
                <w:kern w:val="0"/>
                <w:sz w:val="20"/>
                <w:szCs w:val="20"/>
              </w:rPr>
              <w:t>の部</w:t>
            </w:r>
          </w:p>
        </w:tc>
        <w:tc>
          <w:tcPr>
            <w:tcW w:w="1540" w:type="dxa"/>
            <w:tcBorders>
              <w:top w:val="single" w:sz="4" w:space="0" w:color="auto"/>
              <w:left w:val="nil"/>
              <w:bottom w:val="single" w:sz="4" w:space="0" w:color="auto"/>
              <w:right w:val="nil"/>
            </w:tcBorders>
            <w:shd w:val="clear" w:color="auto" w:fill="auto"/>
            <w:noWrap/>
            <w:vAlign w:val="center"/>
            <w:hideMark/>
          </w:tcPr>
          <w:p w14:paraId="7792C53C" w14:textId="77777777" w:rsidR="0012638A" w:rsidRPr="00C74F0E" w:rsidRDefault="0012638A" w:rsidP="0012638A">
            <w:pPr>
              <w:widowControl/>
              <w:jc w:val="center"/>
              <w:rPr>
                <w:rFonts w:ascii="Century" w:eastAsia="游ゴシック" w:hAnsi="Century" w:cs="ＭＳ Ｐゴシック"/>
                <w:b/>
                <w:bCs/>
                <w:color w:val="000000"/>
                <w:kern w:val="0"/>
                <w:sz w:val="20"/>
                <w:szCs w:val="20"/>
              </w:rPr>
            </w:pPr>
            <w:r w:rsidRPr="00C74F0E">
              <w:rPr>
                <w:rFonts w:ascii="Century" w:eastAsia="游ゴシック" w:hAnsi="Century" w:cs="ＭＳ Ｐゴシック"/>
                <w:b/>
                <w:bCs/>
                <w:color w:val="000000"/>
                <w:kern w:val="0"/>
                <w:sz w:val="20"/>
                <w:szCs w:val="20"/>
              </w:rPr>
              <w:t>2018</w:t>
            </w:r>
          </w:p>
        </w:tc>
        <w:tc>
          <w:tcPr>
            <w:tcW w:w="1380" w:type="dxa"/>
            <w:tcBorders>
              <w:top w:val="single" w:sz="4" w:space="0" w:color="auto"/>
              <w:left w:val="nil"/>
              <w:bottom w:val="single" w:sz="4" w:space="0" w:color="auto"/>
              <w:right w:val="nil"/>
            </w:tcBorders>
            <w:shd w:val="clear" w:color="auto" w:fill="auto"/>
            <w:noWrap/>
            <w:vAlign w:val="center"/>
            <w:hideMark/>
          </w:tcPr>
          <w:p w14:paraId="54A592E5" w14:textId="77777777" w:rsidR="0012638A" w:rsidRPr="00C74F0E" w:rsidRDefault="0012638A" w:rsidP="0012638A">
            <w:pPr>
              <w:widowControl/>
              <w:jc w:val="center"/>
              <w:rPr>
                <w:rFonts w:ascii="Century" w:eastAsia="游ゴシック" w:hAnsi="Century" w:cs="ＭＳ Ｐゴシック"/>
                <w:b/>
                <w:bCs/>
                <w:color w:val="000000"/>
                <w:kern w:val="0"/>
                <w:sz w:val="20"/>
                <w:szCs w:val="20"/>
              </w:rPr>
            </w:pPr>
            <w:r w:rsidRPr="00C74F0E">
              <w:rPr>
                <w:rFonts w:ascii="Century" w:eastAsia="游ゴシック" w:hAnsi="Century" w:cs="ＭＳ Ｐゴシック"/>
                <w:b/>
                <w:bCs/>
                <w:color w:val="000000"/>
                <w:kern w:val="0"/>
                <w:sz w:val="20"/>
                <w:szCs w:val="20"/>
              </w:rPr>
              <w:t>2019</w:t>
            </w:r>
          </w:p>
        </w:tc>
        <w:tc>
          <w:tcPr>
            <w:tcW w:w="1380" w:type="dxa"/>
            <w:tcBorders>
              <w:top w:val="single" w:sz="4" w:space="0" w:color="auto"/>
              <w:left w:val="nil"/>
              <w:bottom w:val="single" w:sz="4" w:space="0" w:color="auto"/>
              <w:right w:val="nil"/>
            </w:tcBorders>
            <w:shd w:val="clear" w:color="auto" w:fill="auto"/>
            <w:noWrap/>
            <w:vAlign w:val="center"/>
            <w:hideMark/>
          </w:tcPr>
          <w:p w14:paraId="6F013E05" w14:textId="77777777" w:rsidR="0012638A" w:rsidRPr="00C74F0E" w:rsidRDefault="0012638A" w:rsidP="0012638A">
            <w:pPr>
              <w:widowControl/>
              <w:jc w:val="center"/>
              <w:rPr>
                <w:rFonts w:ascii="Century" w:eastAsia="游ゴシック" w:hAnsi="Century" w:cs="ＭＳ Ｐゴシック"/>
                <w:b/>
                <w:bCs/>
                <w:color w:val="000000"/>
                <w:kern w:val="0"/>
                <w:sz w:val="20"/>
                <w:szCs w:val="20"/>
              </w:rPr>
            </w:pPr>
            <w:r w:rsidRPr="00C74F0E">
              <w:rPr>
                <w:rFonts w:ascii="Century" w:eastAsia="游ゴシック" w:hAnsi="Century" w:cs="ＭＳ Ｐゴシック"/>
                <w:b/>
                <w:bCs/>
                <w:color w:val="000000"/>
                <w:kern w:val="0"/>
                <w:sz w:val="20"/>
                <w:szCs w:val="20"/>
              </w:rPr>
              <w:t>2020</w:t>
            </w:r>
          </w:p>
        </w:tc>
      </w:tr>
      <w:tr w:rsidR="0012638A" w:rsidRPr="0012638A" w14:paraId="6D6A4C87" w14:textId="77777777" w:rsidTr="0012638A">
        <w:trPr>
          <w:trHeight w:val="340"/>
        </w:trPr>
        <w:tc>
          <w:tcPr>
            <w:tcW w:w="4560" w:type="dxa"/>
            <w:tcBorders>
              <w:top w:val="nil"/>
              <w:left w:val="nil"/>
              <w:bottom w:val="nil"/>
              <w:right w:val="nil"/>
            </w:tcBorders>
            <w:shd w:val="clear" w:color="auto" w:fill="auto"/>
            <w:noWrap/>
            <w:vAlign w:val="center"/>
            <w:hideMark/>
          </w:tcPr>
          <w:p w14:paraId="608C93A5" w14:textId="77777777" w:rsidR="0012638A" w:rsidRPr="001B11F1" w:rsidRDefault="0012638A" w:rsidP="0012638A">
            <w:pPr>
              <w:widowControl/>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lastRenderedPageBreak/>
              <w:t>負債</w:t>
            </w:r>
          </w:p>
        </w:tc>
        <w:tc>
          <w:tcPr>
            <w:tcW w:w="1540" w:type="dxa"/>
            <w:tcBorders>
              <w:top w:val="nil"/>
              <w:left w:val="nil"/>
              <w:bottom w:val="nil"/>
              <w:right w:val="nil"/>
            </w:tcBorders>
            <w:shd w:val="clear" w:color="auto" w:fill="auto"/>
            <w:noWrap/>
            <w:vAlign w:val="center"/>
            <w:hideMark/>
          </w:tcPr>
          <w:p w14:paraId="0C091682"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188,697 </w:t>
            </w:r>
          </w:p>
        </w:tc>
        <w:tc>
          <w:tcPr>
            <w:tcW w:w="1380" w:type="dxa"/>
            <w:tcBorders>
              <w:top w:val="nil"/>
              <w:left w:val="nil"/>
              <w:bottom w:val="nil"/>
              <w:right w:val="nil"/>
            </w:tcBorders>
            <w:shd w:val="clear" w:color="auto" w:fill="auto"/>
            <w:noWrap/>
            <w:vAlign w:val="center"/>
            <w:hideMark/>
          </w:tcPr>
          <w:p w14:paraId="53B12C7A"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248,253 </w:t>
            </w:r>
          </w:p>
        </w:tc>
        <w:tc>
          <w:tcPr>
            <w:tcW w:w="1380" w:type="dxa"/>
            <w:tcBorders>
              <w:top w:val="nil"/>
              <w:left w:val="nil"/>
              <w:bottom w:val="nil"/>
              <w:right w:val="nil"/>
            </w:tcBorders>
            <w:shd w:val="clear" w:color="auto" w:fill="auto"/>
            <w:noWrap/>
            <w:vAlign w:val="center"/>
            <w:hideMark/>
          </w:tcPr>
          <w:p w14:paraId="4F042773"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190,394 </w:t>
            </w:r>
          </w:p>
        </w:tc>
      </w:tr>
      <w:tr w:rsidR="0012638A" w:rsidRPr="0012638A" w14:paraId="3461AD9B" w14:textId="77777777" w:rsidTr="0012638A">
        <w:trPr>
          <w:trHeight w:val="340"/>
        </w:trPr>
        <w:tc>
          <w:tcPr>
            <w:tcW w:w="4560" w:type="dxa"/>
            <w:tcBorders>
              <w:top w:val="nil"/>
              <w:left w:val="nil"/>
              <w:bottom w:val="nil"/>
              <w:right w:val="nil"/>
            </w:tcBorders>
            <w:shd w:val="clear" w:color="auto" w:fill="auto"/>
            <w:noWrap/>
            <w:vAlign w:val="center"/>
            <w:hideMark/>
          </w:tcPr>
          <w:p w14:paraId="2206CA82" w14:textId="77777777" w:rsidR="0012638A" w:rsidRPr="001B11F1" w:rsidRDefault="0012638A" w:rsidP="00C01BB9">
            <w:pPr>
              <w:widowControl/>
              <w:ind w:firstLineChars="100" w:firstLine="200"/>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流動負債</w:t>
            </w:r>
          </w:p>
        </w:tc>
        <w:tc>
          <w:tcPr>
            <w:tcW w:w="1540" w:type="dxa"/>
            <w:tcBorders>
              <w:top w:val="nil"/>
              <w:left w:val="nil"/>
              <w:bottom w:val="nil"/>
              <w:right w:val="nil"/>
            </w:tcBorders>
            <w:shd w:val="clear" w:color="auto" w:fill="auto"/>
            <w:noWrap/>
            <w:vAlign w:val="center"/>
            <w:hideMark/>
          </w:tcPr>
          <w:p w14:paraId="7993B39E"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123,623 </w:t>
            </w:r>
          </w:p>
        </w:tc>
        <w:tc>
          <w:tcPr>
            <w:tcW w:w="1380" w:type="dxa"/>
            <w:tcBorders>
              <w:top w:val="nil"/>
              <w:left w:val="nil"/>
              <w:bottom w:val="nil"/>
              <w:right w:val="nil"/>
            </w:tcBorders>
            <w:shd w:val="clear" w:color="auto" w:fill="auto"/>
            <w:noWrap/>
            <w:vAlign w:val="center"/>
            <w:hideMark/>
          </w:tcPr>
          <w:p w14:paraId="325E9ECC"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154,652 </w:t>
            </w:r>
          </w:p>
        </w:tc>
        <w:tc>
          <w:tcPr>
            <w:tcW w:w="1380" w:type="dxa"/>
            <w:tcBorders>
              <w:top w:val="nil"/>
              <w:left w:val="nil"/>
              <w:bottom w:val="nil"/>
              <w:right w:val="nil"/>
            </w:tcBorders>
            <w:shd w:val="clear" w:color="auto" w:fill="auto"/>
            <w:noWrap/>
            <w:vAlign w:val="center"/>
            <w:hideMark/>
          </w:tcPr>
          <w:p w14:paraId="72FECF40"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100,495 </w:t>
            </w:r>
          </w:p>
        </w:tc>
      </w:tr>
      <w:tr w:rsidR="0012638A" w:rsidRPr="0012638A" w14:paraId="66E0A227" w14:textId="77777777" w:rsidTr="0012638A">
        <w:trPr>
          <w:trHeight w:val="340"/>
        </w:trPr>
        <w:tc>
          <w:tcPr>
            <w:tcW w:w="4560" w:type="dxa"/>
            <w:tcBorders>
              <w:top w:val="nil"/>
              <w:left w:val="nil"/>
              <w:bottom w:val="nil"/>
              <w:right w:val="nil"/>
            </w:tcBorders>
            <w:shd w:val="clear" w:color="auto" w:fill="auto"/>
            <w:noWrap/>
            <w:vAlign w:val="center"/>
            <w:hideMark/>
          </w:tcPr>
          <w:p w14:paraId="224DE7C1" w14:textId="77777777" w:rsidR="0012638A" w:rsidRPr="001B11F1" w:rsidRDefault="0012638A" w:rsidP="00C01BB9">
            <w:pPr>
              <w:widowControl/>
              <w:ind w:firstLineChars="200" w:firstLine="400"/>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買掛金および支払手形</w:t>
            </w:r>
          </w:p>
        </w:tc>
        <w:tc>
          <w:tcPr>
            <w:tcW w:w="1540" w:type="dxa"/>
            <w:tcBorders>
              <w:top w:val="nil"/>
              <w:left w:val="nil"/>
              <w:bottom w:val="nil"/>
              <w:right w:val="nil"/>
            </w:tcBorders>
            <w:shd w:val="clear" w:color="auto" w:fill="auto"/>
            <w:noWrap/>
            <w:vAlign w:val="center"/>
            <w:hideMark/>
          </w:tcPr>
          <w:p w14:paraId="21C0A5CA"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17,557 </w:t>
            </w:r>
          </w:p>
        </w:tc>
        <w:tc>
          <w:tcPr>
            <w:tcW w:w="1380" w:type="dxa"/>
            <w:tcBorders>
              <w:top w:val="nil"/>
              <w:left w:val="nil"/>
              <w:bottom w:val="nil"/>
              <w:right w:val="nil"/>
            </w:tcBorders>
            <w:shd w:val="clear" w:color="auto" w:fill="auto"/>
            <w:noWrap/>
            <w:vAlign w:val="center"/>
            <w:hideMark/>
          </w:tcPr>
          <w:p w14:paraId="76A50594"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19,907 </w:t>
            </w:r>
          </w:p>
        </w:tc>
        <w:tc>
          <w:tcPr>
            <w:tcW w:w="1380" w:type="dxa"/>
            <w:tcBorders>
              <w:top w:val="nil"/>
              <w:left w:val="nil"/>
              <w:bottom w:val="nil"/>
              <w:right w:val="nil"/>
            </w:tcBorders>
            <w:shd w:val="clear" w:color="auto" w:fill="auto"/>
            <w:noWrap/>
            <w:vAlign w:val="center"/>
            <w:hideMark/>
          </w:tcPr>
          <w:p w14:paraId="33D3FEBF"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13,921 </w:t>
            </w:r>
          </w:p>
        </w:tc>
      </w:tr>
      <w:tr w:rsidR="0012638A" w:rsidRPr="0012638A" w14:paraId="204A2E01" w14:textId="77777777" w:rsidTr="0012638A">
        <w:trPr>
          <w:trHeight w:val="340"/>
        </w:trPr>
        <w:tc>
          <w:tcPr>
            <w:tcW w:w="4560" w:type="dxa"/>
            <w:tcBorders>
              <w:top w:val="nil"/>
              <w:left w:val="nil"/>
              <w:bottom w:val="nil"/>
              <w:right w:val="nil"/>
            </w:tcBorders>
            <w:shd w:val="clear" w:color="auto" w:fill="auto"/>
            <w:noWrap/>
            <w:vAlign w:val="center"/>
            <w:hideMark/>
          </w:tcPr>
          <w:p w14:paraId="52B997EB" w14:textId="77777777" w:rsidR="0012638A" w:rsidRPr="001B11F1" w:rsidRDefault="0012638A" w:rsidP="00C01BB9">
            <w:pPr>
              <w:widowControl/>
              <w:ind w:firstLineChars="200" w:firstLine="400"/>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その他の流動負債</w:t>
            </w:r>
          </w:p>
        </w:tc>
        <w:tc>
          <w:tcPr>
            <w:tcW w:w="1540" w:type="dxa"/>
            <w:tcBorders>
              <w:top w:val="nil"/>
              <w:left w:val="nil"/>
              <w:bottom w:val="nil"/>
              <w:right w:val="nil"/>
            </w:tcBorders>
            <w:shd w:val="clear" w:color="auto" w:fill="auto"/>
            <w:noWrap/>
            <w:vAlign w:val="center"/>
            <w:hideMark/>
          </w:tcPr>
          <w:p w14:paraId="350605D6"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106,066 </w:t>
            </w:r>
          </w:p>
        </w:tc>
        <w:tc>
          <w:tcPr>
            <w:tcW w:w="1380" w:type="dxa"/>
            <w:tcBorders>
              <w:top w:val="nil"/>
              <w:left w:val="nil"/>
              <w:bottom w:val="nil"/>
              <w:right w:val="nil"/>
            </w:tcBorders>
            <w:shd w:val="clear" w:color="auto" w:fill="auto"/>
            <w:noWrap/>
            <w:vAlign w:val="center"/>
            <w:hideMark/>
          </w:tcPr>
          <w:p w14:paraId="431AB90F"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134,745 </w:t>
            </w:r>
          </w:p>
        </w:tc>
        <w:tc>
          <w:tcPr>
            <w:tcW w:w="1380" w:type="dxa"/>
            <w:tcBorders>
              <w:top w:val="nil"/>
              <w:left w:val="nil"/>
              <w:bottom w:val="nil"/>
              <w:right w:val="nil"/>
            </w:tcBorders>
            <w:shd w:val="clear" w:color="auto" w:fill="auto"/>
            <w:noWrap/>
            <w:vAlign w:val="center"/>
            <w:hideMark/>
          </w:tcPr>
          <w:p w14:paraId="733A57E0"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86,574 </w:t>
            </w:r>
          </w:p>
        </w:tc>
      </w:tr>
      <w:tr w:rsidR="0012638A" w:rsidRPr="0012638A" w14:paraId="08348FFC" w14:textId="77777777" w:rsidTr="0012638A">
        <w:trPr>
          <w:trHeight w:val="340"/>
        </w:trPr>
        <w:tc>
          <w:tcPr>
            <w:tcW w:w="4560" w:type="dxa"/>
            <w:tcBorders>
              <w:top w:val="nil"/>
              <w:left w:val="nil"/>
              <w:bottom w:val="nil"/>
              <w:right w:val="nil"/>
            </w:tcBorders>
            <w:shd w:val="clear" w:color="auto" w:fill="auto"/>
            <w:noWrap/>
            <w:vAlign w:val="center"/>
            <w:hideMark/>
          </w:tcPr>
          <w:p w14:paraId="58D39921" w14:textId="77777777" w:rsidR="0012638A" w:rsidRPr="001B11F1" w:rsidRDefault="0012638A" w:rsidP="00C01BB9">
            <w:pPr>
              <w:widowControl/>
              <w:ind w:firstLineChars="100" w:firstLine="200"/>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固定負債</w:t>
            </w:r>
          </w:p>
        </w:tc>
        <w:tc>
          <w:tcPr>
            <w:tcW w:w="1540" w:type="dxa"/>
            <w:tcBorders>
              <w:top w:val="nil"/>
              <w:left w:val="nil"/>
              <w:bottom w:val="nil"/>
              <w:right w:val="nil"/>
            </w:tcBorders>
            <w:shd w:val="clear" w:color="auto" w:fill="auto"/>
            <w:noWrap/>
            <w:vAlign w:val="center"/>
            <w:hideMark/>
          </w:tcPr>
          <w:p w14:paraId="48A66CBE"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65,074 </w:t>
            </w:r>
          </w:p>
        </w:tc>
        <w:tc>
          <w:tcPr>
            <w:tcW w:w="1380" w:type="dxa"/>
            <w:tcBorders>
              <w:top w:val="nil"/>
              <w:left w:val="nil"/>
              <w:bottom w:val="nil"/>
              <w:right w:val="nil"/>
            </w:tcBorders>
            <w:shd w:val="clear" w:color="auto" w:fill="auto"/>
            <w:noWrap/>
            <w:vAlign w:val="center"/>
            <w:hideMark/>
          </w:tcPr>
          <w:p w14:paraId="33A68220"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93,601 </w:t>
            </w:r>
          </w:p>
        </w:tc>
        <w:tc>
          <w:tcPr>
            <w:tcW w:w="1380" w:type="dxa"/>
            <w:tcBorders>
              <w:top w:val="nil"/>
              <w:left w:val="nil"/>
              <w:bottom w:val="nil"/>
              <w:right w:val="nil"/>
            </w:tcBorders>
            <w:shd w:val="clear" w:color="auto" w:fill="auto"/>
            <w:noWrap/>
            <w:vAlign w:val="center"/>
            <w:hideMark/>
          </w:tcPr>
          <w:p w14:paraId="15DADBF2"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89,899 </w:t>
            </w:r>
          </w:p>
        </w:tc>
      </w:tr>
      <w:tr w:rsidR="0012638A" w:rsidRPr="0012638A" w14:paraId="77C7439B" w14:textId="77777777" w:rsidTr="00C01BB9">
        <w:trPr>
          <w:trHeight w:val="340"/>
        </w:trPr>
        <w:tc>
          <w:tcPr>
            <w:tcW w:w="4560" w:type="dxa"/>
            <w:tcBorders>
              <w:top w:val="nil"/>
              <w:left w:val="nil"/>
              <w:right w:val="nil"/>
            </w:tcBorders>
            <w:shd w:val="clear" w:color="auto" w:fill="auto"/>
            <w:noWrap/>
            <w:vAlign w:val="center"/>
            <w:hideMark/>
          </w:tcPr>
          <w:p w14:paraId="63846B72" w14:textId="77777777" w:rsidR="0012638A" w:rsidRPr="001B11F1" w:rsidRDefault="0012638A" w:rsidP="0012638A">
            <w:pPr>
              <w:widowControl/>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純資産</w:t>
            </w:r>
          </w:p>
        </w:tc>
        <w:tc>
          <w:tcPr>
            <w:tcW w:w="1540" w:type="dxa"/>
            <w:tcBorders>
              <w:top w:val="nil"/>
              <w:left w:val="nil"/>
              <w:right w:val="nil"/>
            </w:tcBorders>
            <w:shd w:val="clear" w:color="auto" w:fill="auto"/>
            <w:noWrap/>
            <w:vAlign w:val="center"/>
            <w:hideMark/>
          </w:tcPr>
          <w:p w14:paraId="6A1AD764"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721,976 </w:t>
            </w:r>
          </w:p>
        </w:tc>
        <w:tc>
          <w:tcPr>
            <w:tcW w:w="1380" w:type="dxa"/>
            <w:tcBorders>
              <w:top w:val="nil"/>
              <w:left w:val="nil"/>
              <w:right w:val="nil"/>
            </w:tcBorders>
            <w:shd w:val="clear" w:color="auto" w:fill="auto"/>
            <w:noWrap/>
            <w:vAlign w:val="center"/>
            <w:hideMark/>
          </w:tcPr>
          <w:p w14:paraId="22C61582"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803,201 </w:t>
            </w:r>
          </w:p>
        </w:tc>
        <w:tc>
          <w:tcPr>
            <w:tcW w:w="1380" w:type="dxa"/>
            <w:tcBorders>
              <w:top w:val="nil"/>
              <w:left w:val="nil"/>
              <w:right w:val="nil"/>
            </w:tcBorders>
            <w:shd w:val="clear" w:color="auto" w:fill="auto"/>
            <w:noWrap/>
            <w:vAlign w:val="center"/>
            <w:hideMark/>
          </w:tcPr>
          <w:p w14:paraId="2433F192"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820,257 </w:t>
            </w:r>
          </w:p>
        </w:tc>
      </w:tr>
      <w:tr w:rsidR="0012638A" w:rsidRPr="0012638A" w14:paraId="7A1826EA" w14:textId="77777777" w:rsidTr="00C01BB9">
        <w:trPr>
          <w:trHeight w:val="340"/>
        </w:trPr>
        <w:tc>
          <w:tcPr>
            <w:tcW w:w="4560" w:type="dxa"/>
            <w:tcBorders>
              <w:top w:val="nil"/>
              <w:left w:val="nil"/>
              <w:right w:val="nil"/>
            </w:tcBorders>
            <w:shd w:val="clear" w:color="auto" w:fill="auto"/>
            <w:noWrap/>
            <w:vAlign w:val="center"/>
            <w:hideMark/>
          </w:tcPr>
          <w:p w14:paraId="32797BC8" w14:textId="77777777" w:rsidR="0012638A" w:rsidRPr="001B11F1" w:rsidRDefault="0012638A" w:rsidP="001B11F1">
            <w:pPr>
              <w:widowControl/>
              <w:ind w:firstLineChars="100" w:firstLine="200"/>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自己資本</w:t>
            </w:r>
          </w:p>
        </w:tc>
        <w:tc>
          <w:tcPr>
            <w:tcW w:w="1540" w:type="dxa"/>
            <w:tcBorders>
              <w:top w:val="nil"/>
              <w:left w:val="nil"/>
              <w:right w:val="nil"/>
            </w:tcBorders>
            <w:shd w:val="clear" w:color="auto" w:fill="auto"/>
            <w:noWrap/>
            <w:vAlign w:val="center"/>
            <w:hideMark/>
          </w:tcPr>
          <w:p w14:paraId="798E85D7"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721,976 </w:t>
            </w:r>
          </w:p>
        </w:tc>
        <w:tc>
          <w:tcPr>
            <w:tcW w:w="1380" w:type="dxa"/>
            <w:tcBorders>
              <w:top w:val="nil"/>
              <w:left w:val="nil"/>
              <w:right w:val="nil"/>
            </w:tcBorders>
            <w:shd w:val="clear" w:color="auto" w:fill="auto"/>
            <w:noWrap/>
            <w:vAlign w:val="center"/>
            <w:hideMark/>
          </w:tcPr>
          <w:p w14:paraId="6BB16F4E"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803,201 </w:t>
            </w:r>
          </w:p>
        </w:tc>
        <w:tc>
          <w:tcPr>
            <w:tcW w:w="1380" w:type="dxa"/>
            <w:tcBorders>
              <w:top w:val="nil"/>
              <w:left w:val="nil"/>
              <w:right w:val="nil"/>
            </w:tcBorders>
            <w:shd w:val="clear" w:color="auto" w:fill="auto"/>
            <w:noWrap/>
            <w:vAlign w:val="center"/>
            <w:hideMark/>
          </w:tcPr>
          <w:p w14:paraId="1107FA40"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820,257 </w:t>
            </w:r>
          </w:p>
        </w:tc>
      </w:tr>
      <w:tr w:rsidR="0012638A" w:rsidRPr="0012638A" w14:paraId="5C3CB58E" w14:textId="77777777" w:rsidTr="00C01BB9">
        <w:trPr>
          <w:trHeight w:val="340"/>
        </w:trPr>
        <w:tc>
          <w:tcPr>
            <w:tcW w:w="4560" w:type="dxa"/>
            <w:tcBorders>
              <w:left w:val="nil"/>
              <w:bottom w:val="single" w:sz="4" w:space="0" w:color="auto"/>
              <w:right w:val="nil"/>
            </w:tcBorders>
            <w:shd w:val="clear" w:color="auto" w:fill="auto"/>
            <w:noWrap/>
            <w:vAlign w:val="center"/>
            <w:hideMark/>
          </w:tcPr>
          <w:p w14:paraId="446EBA27" w14:textId="77777777" w:rsidR="0012638A" w:rsidRPr="001B11F1" w:rsidRDefault="0012638A" w:rsidP="0012638A">
            <w:pPr>
              <w:widowControl/>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負債・純資産</w:t>
            </w:r>
          </w:p>
        </w:tc>
        <w:tc>
          <w:tcPr>
            <w:tcW w:w="1540" w:type="dxa"/>
            <w:tcBorders>
              <w:left w:val="nil"/>
              <w:bottom w:val="single" w:sz="4" w:space="0" w:color="auto"/>
              <w:right w:val="nil"/>
            </w:tcBorders>
            <w:shd w:val="clear" w:color="auto" w:fill="auto"/>
            <w:noWrap/>
            <w:vAlign w:val="center"/>
            <w:hideMark/>
          </w:tcPr>
          <w:p w14:paraId="66E85204"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910,673 </w:t>
            </w:r>
          </w:p>
        </w:tc>
        <w:tc>
          <w:tcPr>
            <w:tcW w:w="1380" w:type="dxa"/>
            <w:tcBorders>
              <w:left w:val="nil"/>
              <w:bottom w:val="single" w:sz="4" w:space="0" w:color="auto"/>
              <w:right w:val="nil"/>
            </w:tcBorders>
            <w:shd w:val="clear" w:color="auto" w:fill="auto"/>
            <w:noWrap/>
            <w:vAlign w:val="center"/>
            <w:hideMark/>
          </w:tcPr>
          <w:p w14:paraId="799F5A36"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1,051,455 </w:t>
            </w:r>
          </w:p>
        </w:tc>
        <w:tc>
          <w:tcPr>
            <w:tcW w:w="1380" w:type="dxa"/>
            <w:tcBorders>
              <w:left w:val="nil"/>
              <w:bottom w:val="single" w:sz="4" w:space="0" w:color="auto"/>
              <w:right w:val="nil"/>
            </w:tcBorders>
            <w:shd w:val="clear" w:color="auto" w:fill="auto"/>
            <w:noWrap/>
            <w:vAlign w:val="center"/>
            <w:hideMark/>
          </w:tcPr>
          <w:p w14:paraId="7154C5FF"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1,010,651 </w:t>
            </w:r>
          </w:p>
        </w:tc>
      </w:tr>
    </w:tbl>
    <w:p w14:paraId="1E502092" w14:textId="5C2EAFF5" w:rsidR="0024372F" w:rsidRPr="0012638A" w:rsidRDefault="0024372F" w:rsidP="0024372F">
      <w:r>
        <w:rPr>
          <w:rFonts w:hint="eastAsia"/>
        </w:rPr>
        <w:t>出典：オリエンタルランド</w:t>
      </w:r>
      <w:r w:rsidR="00AF3BD8">
        <w:rPr>
          <w:rFonts w:hint="eastAsia"/>
        </w:rPr>
        <w:t>社「有価証券報告書」</w:t>
      </w:r>
      <w:r>
        <w:rPr>
          <w:rFonts w:hint="eastAsia"/>
        </w:rPr>
        <w:t>より筆者作成。</w:t>
      </w:r>
      <w:r w:rsidR="00B15EF4">
        <w:rPr>
          <w:rFonts w:hint="eastAsia"/>
        </w:rPr>
        <w:t>単位は百万円。</w:t>
      </w:r>
    </w:p>
    <w:p w14:paraId="5266223B" w14:textId="77777777" w:rsidR="0012638A" w:rsidRPr="0024372F" w:rsidRDefault="0012638A" w:rsidP="0012638A"/>
    <w:p w14:paraId="333C1337" w14:textId="2F6E1021" w:rsidR="0012638A" w:rsidRDefault="0012638A" w:rsidP="0012638A">
      <w:r>
        <w:rPr>
          <w:rFonts w:hint="eastAsia"/>
        </w:rPr>
        <w:t>表４　オリエンタルランド</w:t>
      </w:r>
      <w:r w:rsidR="00DF1BDA">
        <w:rPr>
          <w:rFonts w:hint="eastAsia"/>
        </w:rPr>
        <w:t>社</w:t>
      </w:r>
      <w:r>
        <w:rPr>
          <w:rFonts w:hint="eastAsia"/>
        </w:rPr>
        <w:t>のキャッシュフロー計算書（2018年から2020年）</w:t>
      </w:r>
    </w:p>
    <w:tbl>
      <w:tblPr>
        <w:tblW w:w="8860" w:type="dxa"/>
        <w:tblCellMar>
          <w:left w:w="99" w:type="dxa"/>
          <w:right w:w="99" w:type="dxa"/>
        </w:tblCellMar>
        <w:tblLook w:val="04A0" w:firstRow="1" w:lastRow="0" w:firstColumn="1" w:lastColumn="0" w:noHBand="0" w:noVBand="1"/>
      </w:tblPr>
      <w:tblGrid>
        <w:gridCol w:w="4560"/>
        <w:gridCol w:w="1540"/>
        <w:gridCol w:w="1380"/>
        <w:gridCol w:w="1380"/>
      </w:tblGrid>
      <w:tr w:rsidR="0012638A" w:rsidRPr="0012638A" w14:paraId="4E2580E4" w14:textId="77777777" w:rsidTr="00BA6333">
        <w:trPr>
          <w:trHeight w:val="340"/>
        </w:trPr>
        <w:tc>
          <w:tcPr>
            <w:tcW w:w="4560" w:type="dxa"/>
            <w:tcBorders>
              <w:top w:val="single" w:sz="4" w:space="0" w:color="auto"/>
              <w:left w:val="nil"/>
              <w:bottom w:val="single" w:sz="4" w:space="0" w:color="auto"/>
              <w:right w:val="nil"/>
            </w:tcBorders>
            <w:shd w:val="clear" w:color="auto" w:fill="auto"/>
            <w:noWrap/>
            <w:vAlign w:val="center"/>
            <w:hideMark/>
          </w:tcPr>
          <w:p w14:paraId="22BA0065" w14:textId="77777777" w:rsidR="0012638A" w:rsidRPr="0012638A" w:rsidRDefault="0012638A" w:rsidP="0012638A">
            <w:pPr>
              <w:widowControl/>
              <w:jc w:val="left"/>
              <w:rPr>
                <w:rFonts w:ascii="ＭＳ Ｐゴシック" w:eastAsia="ＭＳ Ｐゴシック" w:hAnsi="ＭＳ Ｐゴシック" w:cs="ＭＳ Ｐゴシック"/>
                <w:kern w:val="0"/>
                <w:sz w:val="24"/>
                <w:szCs w:val="24"/>
              </w:rPr>
            </w:pPr>
          </w:p>
        </w:tc>
        <w:tc>
          <w:tcPr>
            <w:tcW w:w="1540" w:type="dxa"/>
            <w:tcBorders>
              <w:top w:val="single" w:sz="4" w:space="0" w:color="auto"/>
              <w:left w:val="nil"/>
              <w:bottom w:val="single" w:sz="4" w:space="0" w:color="auto"/>
              <w:right w:val="nil"/>
            </w:tcBorders>
            <w:shd w:val="clear" w:color="auto" w:fill="auto"/>
            <w:noWrap/>
            <w:vAlign w:val="center"/>
            <w:hideMark/>
          </w:tcPr>
          <w:p w14:paraId="54ADED3E" w14:textId="77777777" w:rsidR="0012638A" w:rsidRPr="00C74F0E" w:rsidRDefault="0012638A" w:rsidP="0012638A">
            <w:pPr>
              <w:widowControl/>
              <w:jc w:val="center"/>
              <w:rPr>
                <w:rFonts w:ascii="Century" w:eastAsia="游ゴシック" w:hAnsi="Century" w:cs="ＭＳ Ｐゴシック"/>
                <w:b/>
                <w:bCs/>
                <w:color w:val="000000"/>
                <w:kern w:val="0"/>
                <w:sz w:val="20"/>
                <w:szCs w:val="20"/>
              </w:rPr>
            </w:pPr>
            <w:r w:rsidRPr="00C74F0E">
              <w:rPr>
                <w:rFonts w:ascii="Century" w:eastAsia="游ゴシック" w:hAnsi="Century" w:cs="ＭＳ Ｐゴシック"/>
                <w:b/>
                <w:bCs/>
                <w:color w:val="000000"/>
                <w:kern w:val="0"/>
                <w:sz w:val="20"/>
                <w:szCs w:val="20"/>
              </w:rPr>
              <w:t>2018</w:t>
            </w:r>
          </w:p>
        </w:tc>
        <w:tc>
          <w:tcPr>
            <w:tcW w:w="1380" w:type="dxa"/>
            <w:tcBorders>
              <w:top w:val="single" w:sz="4" w:space="0" w:color="auto"/>
              <w:left w:val="nil"/>
              <w:bottom w:val="single" w:sz="4" w:space="0" w:color="auto"/>
              <w:right w:val="nil"/>
            </w:tcBorders>
            <w:shd w:val="clear" w:color="auto" w:fill="auto"/>
            <w:noWrap/>
            <w:vAlign w:val="center"/>
            <w:hideMark/>
          </w:tcPr>
          <w:p w14:paraId="2F735976" w14:textId="77777777" w:rsidR="0012638A" w:rsidRPr="00C74F0E" w:rsidRDefault="0012638A" w:rsidP="0012638A">
            <w:pPr>
              <w:widowControl/>
              <w:jc w:val="center"/>
              <w:rPr>
                <w:rFonts w:ascii="Century" w:eastAsia="游ゴシック" w:hAnsi="Century" w:cs="ＭＳ Ｐゴシック"/>
                <w:b/>
                <w:bCs/>
                <w:color w:val="000000"/>
                <w:kern w:val="0"/>
                <w:sz w:val="20"/>
                <w:szCs w:val="20"/>
              </w:rPr>
            </w:pPr>
            <w:r w:rsidRPr="00C74F0E">
              <w:rPr>
                <w:rFonts w:ascii="Century" w:eastAsia="游ゴシック" w:hAnsi="Century" w:cs="ＭＳ Ｐゴシック"/>
                <w:b/>
                <w:bCs/>
                <w:color w:val="000000"/>
                <w:kern w:val="0"/>
                <w:sz w:val="20"/>
                <w:szCs w:val="20"/>
              </w:rPr>
              <w:t>2019</w:t>
            </w:r>
          </w:p>
        </w:tc>
        <w:tc>
          <w:tcPr>
            <w:tcW w:w="1380" w:type="dxa"/>
            <w:tcBorders>
              <w:top w:val="single" w:sz="4" w:space="0" w:color="auto"/>
              <w:left w:val="nil"/>
              <w:bottom w:val="single" w:sz="4" w:space="0" w:color="auto"/>
              <w:right w:val="nil"/>
            </w:tcBorders>
            <w:shd w:val="clear" w:color="auto" w:fill="auto"/>
            <w:noWrap/>
            <w:vAlign w:val="center"/>
            <w:hideMark/>
          </w:tcPr>
          <w:p w14:paraId="773BD9F5" w14:textId="77777777" w:rsidR="0012638A" w:rsidRPr="00C74F0E" w:rsidRDefault="0012638A" w:rsidP="0012638A">
            <w:pPr>
              <w:widowControl/>
              <w:jc w:val="center"/>
              <w:rPr>
                <w:rFonts w:ascii="Century" w:eastAsia="游ゴシック" w:hAnsi="Century" w:cs="ＭＳ Ｐゴシック"/>
                <w:b/>
                <w:bCs/>
                <w:color w:val="000000"/>
                <w:kern w:val="0"/>
                <w:sz w:val="20"/>
                <w:szCs w:val="20"/>
              </w:rPr>
            </w:pPr>
            <w:r w:rsidRPr="00C74F0E">
              <w:rPr>
                <w:rFonts w:ascii="Century" w:eastAsia="游ゴシック" w:hAnsi="Century" w:cs="ＭＳ Ｐゴシック"/>
                <w:b/>
                <w:bCs/>
                <w:color w:val="000000"/>
                <w:kern w:val="0"/>
                <w:sz w:val="20"/>
                <w:szCs w:val="20"/>
              </w:rPr>
              <w:t>2020</w:t>
            </w:r>
          </w:p>
        </w:tc>
      </w:tr>
      <w:tr w:rsidR="0012638A" w:rsidRPr="0012638A" w14:paraId="55CA4E33" w14:textId="77777777" w:rsidTr="00BA6333">
        <w:trPr>
          <w:trHeight w:val="340"/>
        </w:trPr>
        <w:tc>
          <w:tcPr>
            <w:tcW w:w="4560" w:type="dxa"/>
            <w:tcBorders>
              <w:top w:val="single" w:sz="4" w:space="0" w:color="auto"/>
              <w:left w:val="nil"/>
              <w:bottom w:val="nil"/>
              <w:right w:val="nil"/>
            </w:tcBorders>
            <w:shd w:val="clear" w:color="auto" w:fill="auto"/>
            <w:noWrap/>
            <w:vAlign w:val="center"/>
            <w:hideMark/>
          </w:tcPr>
          <w:p w14:paraId="0FCE9275" w14:textId="77777777" w:rsidR="0012638A" w:rsidRPr="001B11F1" w:rsidRDefault="0012638A" w:rsidP="0012638A">
            <w:pPr>
              <w:widowControl/>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キャッシュフロー計算書</w:t>
            </w:r>
          </w:p>
        </w:tc>
        <w:tc>
          <w:tcPr>
            <w:tcW w:w="1540" w:type="dxa"/>
            <w:tcBorders>
              <w:top w:val="single" w:sz="4" w:space="0" w:color="auto"/>
              <w:left w:val="nil"/>
              <w:bottom w:val="nil"/>
              <w:right w:val="nil"/>
            </w:tcBorders>
            <w:shd w:val="clear" w:color="auto" w:fill="auto"/>
            <w:noWrap/>
            <w:vAlign w:val="center"/>
            <w:hideMark/>
          </w:tcPr>
          <w:p w14:paraId="02D54E00" w14:textId="77777777" w:rsidR="0012638A" w:rsidRPr="00C74F0E" w:rsidRDefault="0012638A" w:rsidP="0012638A">
            <w:pPr>
              <w:widowControl/>
              <w:jc w:val="left"/>
              <w:rPr>
                <w:rFonts w:ascii="Century" w:eastAsia="游ゴシック" w:hAnsi="Century" w:cs="ＭＳ Ｐゴシック"/>
                <w:color w:val="000000"/>
                <w:kern w:val="0"/>
                <w:sz w:val="20"/>
                <w:szCs w:val="20"/>
              </w:rPr>
            </w:pPr>
            <w:r w:rsidRPr="00C74F0E">
              <w:rPr>
                <w:rFonts w:ascii="Century" w:eastAsia="游ゴシック" w:hAnsi="Century" w:cs="ＭＳ Ｐゴシック"/>
                <w:color w:val="000000"/>
                <w:kern w:val="0"/>
                <w:sz w:val="20"/>
                <w:szCs w:val="20"/>
              </w:rPr>
              <w:t xml:space="preserve">　</w:t>
            </w:r>
          </w:p>
        </w:tc>
        <w:tc>
          <w:tcPr>
            <w:tcW w:w="1380" w:type="dxa"/>
            <w:tcBorders>
              <w:top w:val="single" w:sz="4" w:space="0" w:color="auto"/>
              <w:left w:val="nil"/>
              <w:bottom w:val="nil"/>
              <w:right w:val="nil"/>
            </w:tcBorders>
            <w:shd w:val="clear" w:color="auto" w:fill="auto"/>
            <w:noWrap/>
            <w:vAlign w:val="center"/>
            <w:hideMark/>
          </w:tcPr>
          <w:p w14:paraId="4C1E1204" w14:textId="77777777" w:rsidR="0012638A" w:rsidRPr="00C74F0E" w:rsidRDefault="0012638A" w:rsidP="0012638A">
            <w:pPr>
              <w:widowControl/>
              <w:jc w:val="left"/>
              <w:rPr>
                <w:rFonts w:ascii="Century" w:eastAsia="游ゴシック" w:hAnsi="Century" w:cs="ＭＳ Ｐゴシック"/>
                <w:color w:val="000000"/>
                <w:kern w:val="0"/>
                <w:sz w:val="20"/>
                <w:szCs w:val="20"/>
              </w:rPr>
            </w:pPr>
            <w:r w:rsidRPr="00C74F0E">
              <w:rPr>
                <w:rFonts w:ascii="Century" w:eastAsia="游ゴシック" w:hAnsi="Century" w:cs="ＭＳ Ｐゴシック"/>
                <w:color w:val="000000"/>
                <w:kern w:val="0"/>
                <w:sz w:val="20"/>
                <w:szCs w:val="20"/>
              </w:rPr>
              <w:t xml:space="preserve">　</w:t>
            </w:r>
          </w:p>
        </w:tc>
        <w:tc>
          <w:tcPr>
            <w:tcW w:w="1380" w:type="dxa"/>
            <w:tcBorders>
              <w:top w:val="single" w:sz="4" w:space="0" w:color="auto"/>
              <w:left w:val="nil"/>
              <w:bottom w:val="nil"/>
              <w:right w:val="nil"/>
            </w:tcBorders>
            <w:shd w:val="clear" w:color="auto" w:fill="auto"/>
            <w:noWrap/>
            <w:vAlign w:val="center"/>
            <w:hideMark/>
          </w:tcPr>
          <w:p w14:paraId="38A61041" w14:textId="77777777" w:rsidR="0012638A" w:rsidRPr="00C74F0E" w:rsidRDefault="0012638A" w:rsidP="0012638A">
            <w:pPr>
              <w:widowControl/>
              <w:jc w:val="left"/>
              <w:rPr>
                <w:rFonts w:ascii="Century" w:eastAsia="游ゴシック" w:hAnsi="Century" w:cs="ＭＳ Ｐゴシック"/>
                <w:color w:val="000000"/>
                <w:kern w:val="0"/>
                <w:sz w:val="20"/>
                <w:szCs w:val="20"/>
              </w:rPr>
            </w:pPr>
            <w:r w:rsidRPr="00C74F0E">
              <w:rPr>
                <w:rFonts w:ascii="Century" w:eastAsia="游ゴシック" w:hAnsi="Century" w:cs="ＭＳ Ｐゴシック"/>
                <w:color w:val="000000"/>
                <w:kern w:val="0"/>
                <w:sz w:val="20"/>
                <w:szCs w:val="20"/>
              </w:rPr>
              <w:t xml:space="preserve">　</w:t>
            </w:r>
          </w:p>
        </w:tc>
      </w:tr>
      <w:tr w:rsidR="0012638A" w:rsidRPr="0012638A" w14:paraId="63F0D7ED" w14:textId="77777777" w:rsidTr="0012638A">
        <w:trPr>
          <w:trHeight w:val="340"/>
        </w:trPr>
        <w:tc>
          <w:tcPr>
            <w:tcW w:w="4560" w:type="dxa"/>
            <w:tcBorders>
              <w:top w:val="nil"/>
              <w:left w:val="nil"/>
              <w:bottom w:val="nil"/>
              <w:right w:val="nil"/>
            </w:tcBorders>
            <w:shd w:val="clear" w:color="auto" w:fill="auto"/>
            <w:noWrap/>
            <w:vAlign w:val="center"/>
            <w:hideMark/>
          </w:tcPr>
          <w:p w14:paraId="4D26EA65" w14:textId="77777777" w:rsidR="0012638A" w:rsidRPr="001B11F1" w:rsidRDefault="0012638A" w:rsidP="0012638A">
            <w:pPr>
              <w:widowControl/>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営業CF</w:t>
            </w:r>
          </w:p>
        </w:tc>
        <w:tc>
          <w:tcPr>
            <w:tcW w:w="1540" w:type="dxa"/>
            <w:tcBorders>
              <w:top w:val="nil"/>
              <w:left w:val="nil"/>
              <w:bottom w:val="nil"/>
              <w:right w:val="nil"/>
            </w:tcBorders>
            <w:shd w:val="clear" w:color="auto" w:fill="auto"/>
            <w:noWrap/>
            <w:vAlign w:val="center"/>
            <w:hideMark/>
          </w:tcPr>
          <w:p w14:paraId="68FB05CC"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122,860 </w:t>
            </w:r>
          </w:p>
        </w:tc>
        <w:tc>
          <w:tcPr>
            <w:tcW w:w="1380" w:type="dxa"/>
            <w:tcBorders>
              <w:top w:val="nil"/>
              <w:left w:val="nil"/>
              <w:bottom w:val="nil"/>
              <w:right w:val="nil"/>
            </w:tcBorders>
            <w:shd w:val="clear" w:color="auto" w:fill="auto"/>
            <w:noWrap/>
            <w:vAlign w:val="center"/>
            <w:hideMark/>
          </w:tcPr>
          <w:p w14:paraId="011A4C8A"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134,974 </w:t>
            </w:r>
          </w:p>
        </w:tc>
        <w:tc>
          <w:tcPr>
            <w:tcW w:w="1380" w:type="dxa"/>
            <w:tcBorders>
              <w:top w:val="nil"/>
              <w:left w:val="nil"/>
              <w:bottom w:val="nil"/>
              <w:right w:val="nil"/>
            </w:tcBorders>
            <w:shd w:val="clear" w:color="auto" w:fill="auto"/>
            <w:noWrap/>
            <w:vAlign w:val="center"/>
            <w:hideMark/>
          </w:tcPr>
          <w:p w14:paraId="68F6ED0C"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73,336 </w:t>
            </w:r>
          </w:p>
        </w:tc>
      </w:tr>
      <w:tr w:rsidR="0012638A" w:rsidRPr="0012638A" w14:paraId="614361CD" w14:textId="77777777" w:rsidTr="0012638A">
        <w:trPr>
          <w:trHeight w:val="340"/>
        </w:trPr>
        <w:tc>
          <w:tcPr>
            <w:tcW w:w="4560" w:type="dxa"/>
            <w:tcBorders>
              <w:top w:val="nil"/>
              <w:left w:val="nil"/>
              <w:bottom w:val="nil"/>
              <w:right w:val="nil"/>
            </w:tcBorders>
            <w:shd w:val="clear" w:color="auto" w:fill="auto"/>
            <w:noWrap/>
            <w:vAlign w:val="center"/>
            <w:hideMark/>
          </w:tcPr>
          <w:p w14:paraId="299879FD" w14:textId="77777777" w:rsidR="0012638A" w:rsidRPr="001B11F1" w:rsidRDefault="0012638A" w:rsidP="000214C0">
            <w:pPr>
              <w:widowControl/>
              <w:ind w:firstLineChars="100" w:firstLine="200"/>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減価償却費</w:t>
            </w:r>
          </w:p>
        </w:tc>
        <w:tc>
          <w:tcPr>
            <w:tcW w:w="1540" w:type="dxa"/>
            <w:tcBorders>
              <w:top w:val="nil"/>
              <w:left w:val="nil"/>
              <w:bottom w:val="nil"/>
              <w:right w:val="nil"/>
            </w:tcBorders>
            <w:shd w:val="clear" w:color="auto" w:fill="auto"/>
            <w:noWrap/>
            <w:vAlign w:val="center"/>
            <w:hideMark/>
          </w:tcPr>
          <w:p w14:paraId="598C9F0C"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37,339 </w:t>
            </w:r>
          </w:p>
        </w:tc>
        <w:tc>
          <w:tcPr>
            <w:tcW w:w="1380" w:type="dxa"/>
            <w:tcBorders>
              <w:top w:val="nil"/>
              <w:left w:val="nil"/>
              <w:bottom w:val="nil"/>
              <w:right w:val="nil"/>
            </w:tcBorders>
            <w:shd w:val="clear" w:color="auto" w:fill="auto"/>
            <w:noWrap/>
            <w:vAlign w:val="center"/>
            <w:hideMark/>
          </w:tcPr>
          <w:p w14:paraId="02BE7BC9"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38,214 </w:t>
            </w:r>
          </w:p>
        </w:tc>
        <w:tc>
          <w:tcPr>
            <w:tcW w:w="1380" w:type="dxa"/>
            <w:tcBorders>
              <w:top w:val="nil"/>
              <w:left w:val="nil"/>
              <w:bottom w:val="nil"/>
              <w:right w:val="nil"/>
            </w:tcBorders>
            <w:shd w:val="clear" w:color="auto" w:fill="auto"/>
            <w:noWrap/>
            <w:vAlign w:val="center"/>
            <w:hideMark/>
          </w:tcPr>
          <w:p w14:paraId="609F7B20"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39,447 </w:t>
            </w:r>
          </w:p>
        </w:tc>
      </w:tr>
      <w:tr w:rsidR="0012638A" w:rsidRPr="0012638A" w14:paraId="21270A74" w14:textId="77777777" w:rsidTr="0012638A">
        <w:trPr>
          <w:trHeight w:val="340"/>
        </w:trPr>
        <w:tc>
          <w:tcPr>
            <w:tcW w:w="4560" w:type="dxa"/>
            <w:tcBorders>
              <w:top w:val="nil"/>
              <w:left w:val="nil"/>
              <w:bottom w:val="nil"/>
              <w:right w:val="nil"/>
            </w:tcBorders>
            <w:shd w:val="clear" w:color="auto" w:fill="auto"/>
            <w:noWrap/>
            <w:vAlign w:val="center"/>
            <w:hideMark/>
          </w:tcPr>
          <w:p w14:paraId="710BEAE2" w14:textId="77777777" w:rsidR="0012638A" w:rsidRPr="001B11F1" w:rsidRDefault="0012638A" w:rsidP="000214C0">
            <w:pPr>
              <w:widowControl/>
              <w:ind w:firstLineChars="100" w:firstLine="200"/>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のれん償却費</w:t>
            </w:r>
          </w:p>
        </w:tc>
        <w:tc>
          <w:tcPr>
            <w:tcW w:w="1540" w:type="dxa"/>
            <w:tcBorders>
              <w:top w:val="nil"/>
              <w:left w:val="nil"/>
              <w:bottom w:val="nil"/>
              <w:right w:val="nil"/>
            </w:tcBorders>
            <w:shd w:val="clear" w:color="auto" w:fill="auto"/>
            <w:noWrap/>
            <w:vAlign w:val="center"/>
            <w:hideMark/>
          </w:tcPr>
          <w:p w14:paraId="713ED224"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247 </w:t>
            </w:r>
          </w:p>
        </w:tc>
        <w:tc>
          <w:tcPr>
            <w:tcW w:w="1380" w:type="dxa"/>
            <w:tcBorders>
              <w:top w:val="nil"/>
              <w:left w:val="nil"/>
              <w:bottom w:val="nil"/>
              <w:right w:val="nil"/>
            </w:tcBorders>
            <w:shd w:val="clear" w:color="auto" w:fill="auto"/>
            <w:noWrap/>
            <w:vAlign w:val="center"/>
            <w:hideMark/>
          </w:tcPr>
          <w:p w14:paraId="12109A9A" w14:textId="77777777" w:rsidR="0012638A" w:rsidRPr="00C74F0E" w:rsidRDefault="0012638A" w:rsidP="0012638A">
            <w:pPr>
              <w:widowControl/>
              <w:jc w:val="right"/>
              <w:rPr>
                <w:rFonts w:ascii="Century" w:eastAsia="游ゴシック" w:hAnsi="Century" w:cs="Calibri"/>
                <w:color w:val="000000"/>
                <w:kern w:val="0"/>
                <w:sz w:val="20"/>
                <w:szCs w:val="20"/>
              </w:rPr>
            </w:pPr>
          </w:p>
        </w:tc>
        <w:tc>
          <w:tcPr>
            <w:tcW w:w="1380" w:type="dxa"/>
            <w:tcBorders>
              <w:top w:val="nil"/>
              <w:left w:val="nil"/>
              <w:bottom w:val="nil"/>
              <w:right w:val="nil"/>
            </w:tcBorders>
            <w:shd w:val="clear" w:color="auto" w:fill="auto"/>
            <w:noWrap/>
            <w:vAlign w:val="center"/>
            <w:hideMark/>
          </w:tcPr>
          <w:p w14:paraId="2207D299" w14:textId="77777777" w:rsidR="0012638A" w:rsidRPr="00C74F0E" w:rsidRDefault="0012638A" w:rsidP="0012638A">
            <w:pPr>
              <w:widowControl/>
              <w:jc w:val="left"/>
              <w:rPr>
                <w:rFonts w:ascii="Century" w:eastAsia="Times New Roman" w:hAnsi="Century" w:cs="Calibri"/>
                <w:kern w:val="0"/>
                <w:sz w:val="20"/>
                <w:szCs w:val="20"/>
              </w:rPr>
            </w:pPr>
          </w:p>
        </w:tc>
      </w:tr>
      <w:tr w:rsidR="0012638A" w:rsidRPr="0012638A" w14:paraId="359417B1" w14:textId="77777777" w:rsidTr="0012638A">
        <w:trPr>
          <w:trHeight w:val="340"/>
        </w:trPr>
        <w:tc>
          <w:tcPr>
            <w:tcW w:w="4560" w:type="dxa"/>
            <w:tcBorders>
              <w:top w:val="nil"/>
              <w:left w:val="nil"/>
              <w:bottom w:val="nil"/>
              <w:right w:val="nil"/>
            </w:tcBorders>
            <w:shd w:val="clear" w:color="auto" w:fill="auto"/>
            <w:noWrap/>
            <w:vAlign w:val="center"/>
            <w:hideMark/>
          </w:tcPr>
          <w:p w14:paraId="71C8D9EE" w14:textId="77777777" w:rsidR="0012638A" w:rsidRPr="001B11F1" w:rsidRDefault="0012638A" w:rsidP="0012638A">
            <w:pPr>
              <w:widowControl/>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投資CF</w:t>
            </w:r>
          </w:p>
        </w:tc>
        <w:tc>
          <w:tcPr>
            <w:tcW w:w="1540" w:type="dxa"/>
            <w:tcBorders>
              <w:top w:val="nil"/>
              <w:left w:val="nil"/>
              <w:bottom w:val="nil"/>
              <w:right w:val="nil"/>
            </w:tcBorders>
            <w:shd w:val="clear" w:color="auto" w:fill="auto"/>
            <w:noWrap/>
            <w:vAlign w:val="center"/>
            <w:hideMark/>
          </w:tcPr>
          <w:p w14:paraId="415D7ED7"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FF0000"/>
                <w:kern w:val="0"/>
                <w:sz w:val="20"/>
                <w:szCs w:val="20"/>
              </w:rPr>
              <w:t xml:space="preserve">-44,981 </w:t>
            </w:r>
          </w:p>
        </w:tc>
        <w:tc>
          <w:tcPr>
            <w:tcW w:w="1380" w:type="dxa"/>
            <w:tcBorders>
              <w:top w:val="nil"/>
              <w:left w:val="nil"/>
              <w:bottom w:val="nil"/>
              <w:right w:val="nil"/>
            </w:tcBorders>
            <w:shd w:val="clear" w:color="auto" w:fill="auto"/>
            <w:noWrap/>
            <w:vAlign w:val="center"/>
            <w:hideMark/>
          </w:tcPr>
          <w:p w14:paraId="3AD7CFDA"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FF0000"/>
                <w:kern w:val="0"/>
                <w:sz w:val="20"/>
                <w:szCs w:val="20"/>
              </w:rPr>
              <w:t xml:space="preserve">-135,360 </w:t>
            </w:r>
          </w:p>
        </w:tc>
        <w:tc>
          <w:tcPr>
            <w:tcW w:w="1380" w:type="dxa"/>
            <w:tcBorders>
              <w:top w:val="nil"/>
              <w:left w:val="nil"/>
              <w:bottom w:val="nil"/>
              <w:right w:val="nil"/>
            </w:tcBorders>
            <w:shd w:val="clear" w:color="auto" w:fill="auto"/>
            <w:noWrap/>
            <w:vAlign w:val="center"/>
            <w:hideMark/>
          </w:tcPr>
          <w:p w14:paraId="044DBE8F"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20,534 </w:t>
            </w:r>
          </w:p>
        </w:tc>
      </w:tr>
      <w:tr w:rsidR="0012638A" w:rsidRPr="0012638A" w14:paraId="59AB9E90" w14:textId="77777777" w:rsidTr="0012638A">
        <w:trPr>
          <w:trHeight w:val="340"/>
        </w:trPr>
        <w:tc>
          <w:tcPr>
            <w:tcW w:w="4560" w:type="dxa"/>
            <w:tcBorders>
              <w:top w:val="nil"/>
              <w:left w:val="nil"/>
              <w:bottom w:val="nil"/>
              <w:right w:val="nil"/>
            </w:tcBorders>
            <w:shd w:val="clear" w:color="auto" w:fill="auto"/>
            <w:noWrap/>
            <w:vAlign w:val="center"/>
            <w:hideMark/>
          </w:tcPr>
          <w:p w14:paraId="0D5DAD6E" w14:textId="77777777" w:rsidR="0012638A" w:rsidRPr="001B11F1" w:rsidRDefault="0012638A" w:rsidP="000214C0">
            <w:pPr>
              <w:widowControl/>
              <w:ind w:firstLineChars="100" w:firstLine="200"/>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設備投資額</w:t>
            </w:r>
          </w:p>
        </w:tc>
        <w:tc>
          <w:tcPr>
            <w:tcW w:w="1540" w:type="dxa"/>
            <w:tcBorders>
              <w:top w:val="nil"/>
              <w:left w:val="nil"/>
              <w:bottom w:val="nil"/>
              <w:right w:val="nil"/>
            </w:tcBorders>
            <w:shd w:val="clear" w:color="auto" w:fill="auto"/>
            <w:noWrap/>
            <w:vAlign w:val="center"/>
            <w:hideMark/>
          </w:tcPr>
          <w:p w14:paraId="5DD31D6A"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FF0000"/>
                <w:kern w:val="0"/>
                <w:sz w:val="20"/>
                <w:szCs w:val="20"/>
              </w:rPr>
              <w:t xml:space="preserve">-59,888 </w:t>
            </w:r>
          </w:p>
        </w:tc>
        <w:tc>
          <w:tcPr>
            <w:tcW w:w="1380" w:type="dxa"/>
            <w:tcBorders>
              <w:top w:val="nil"/>
              <w:left w:val="nil"/>
              <w:bottom w:val="nil"/>
              <w:right w:val="nil"/>
            </w:tcBorders>
            <w:shd w:val="clear" w:color="auto" w:fill="auto"/>
            <w:noWrap/>
            <w:vAlign w:val="center"/>
            <w:hideMark/>
          </w:tcPr>
          <w:p w14:paraId="071C5E27"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FF0000"/>
                <w:kern w:val="0"/>
                <w:sz w:val="20"/>
                <w:szCs w:val="20"/>
              </w:rPr>
              <w:t xml:space="preserve">-86,050 </w:t>
            </w:r>
          </w:p>
        </w:tc>
        <w:tc>
          <w:tcPr>
            <w:tcW w:w="1380" w:type="dxa"/>
            <w:tcBorders>
              <w:top w:val="nil"/>
              <w:left w:val="nil"/>
              <w:bottom w:val="nil"/>
              <w:right w:val="nil"/>
            </w:tcBorders>
            <w:shd w:val="clear" w:color="auto" w:fill="auto"/>
            <w:noWrap/>
            <w:vAlign w:val="center"/>
            <w:hideMark/>
          </w:tcPr>
          <w:p w14:paraId="6654AE32"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FF0000"/>
                <w:kern w:val="0"/>
                <w:sz w:val="20"/>
                <w:szCs w:val="20"/>
              </w:rPr>
              <w:t xml:space="preserve">-139,626 </w:t>
            </w:r>
          </w:p>
        </w:tc>
      </w:tr>
      <w:tr w:rsidR="0012638A" w:rsidRPr="0012638A" w14:paraId="236CEA42" w14:textId="77777777" w:rsidTr="0012638A">
        <w:trPr>
          <w:trHeight w:val="340"/>
        </w:trPr>
        <w:tc>
          <w:tcPr>
            <w:tcW w:w="4560" w:type="dxa"/>
            <w:tcBorders>
              <w:top w:val="nil"/>
              <w:left w:val="nil"/>
              <w:bottom w:val="nil"/>
              <w:right w:val="nil"/>
            </w:tcBorders>
            <w:shd w:val="clear" w:color="auto" w:fill="auto"/>
            <w:noWrap/>
            <w:vAlign w:val="center"/>
            <w:hideMark/>
          </w:tcPr>
          <w:p w14:paraId="27EED175" w14:textId="77777777" w:rsidR="0012638A" w:rsidRPr="001B11F1" w:rsidRDefault="0012638A" w:rsidP="0012638A">
            <w:pPr>
              <w:widowControl/>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財務CF</w:t>
            </w:r>
          </w:p>
        </w:tc>
        <w:tc>
          <w:tcPr>
            <w:tcW w:w="1540" w:type="dxa"/>
            <w:tcBorders>
              <w:top w:val="nil"/>
              <w:left w:val="nil"/>
              <w:bottom w:val="nil"/>
              <w:right w:val="nil"/>
            </w:tcBorders>
            <w:shd w:val="clear" w:color="auto" w:fill="auto"/>
            <w:noWrap/>
            <w:vAlign w:val="center"/>
            <w:hideMark/>
          </w:tcPr>
          <w:p w14:paraId="0FE63280"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FF0000"/>
                <w:kern w:val="0"/>
                <w:sz w:val="20"/>
                <w:szCs w:val="20"/>
              </w:rPr>
              <w:t xml:space="preserve">-33,345 </w:t>
            </w:r>
          </w:p>
        </w:tc>
        <w:tc>
          <w:tcPr>
            <w:tcW w:w="1380" w:type="dxa"/>
            <w:tcBorders>
              <w:top w:val="nil"/>
              <w:left w:val="nil"/>
              <w:bottom w:val="nil"/>
              <w:right w:val="nil"/>
            </w:tcBorders>
            <w:shd w:val="clear" w:color="auto" w:fill="auto"/>
            <w:noWrap/>
            <w:vAlign w:val="center"/>
            <w:hideMark/>
          </w:tcPr>
          <w:p w14:paraId="0D2C066F"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36,601 </w:t>
            </w:r>
          </w:p>
        </w:tc>
        <w:tc>
          <w:tcPr>
            <w:tcW w:w="1380" w:type="dxa"/>
            <w:tcBorders>
              <w:top w:val="nil"/>
              <w:left w:val="nil"/>
              <w:bottom w:val="nil"/>
              <w:right w:val="nil"/>
            </w:tcBorders>
            <w:shd w:val="clear" w:color="auto" w:fill="auto"/>
            <w:noWrap/>
            <w:vAlign w:val="center"/>
            <w:hideMark/>
          </w:tcPr>
          <w:p w14:paraId="6CFF910F"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FF0000"/>
                <w:kern w:val="0"/>
                <w:sz w:val="20"/>
                <w:szCs w:val="20"/>
              </w:rPr>
              <w:t xml:space="preserve">-55,257 </w:t>
            </w:r>
          </w:p>
        </w:tc>
      </w:tr>
      <w:tr w:rsidR="0012638A" w:rsidRPr="0012638A" w14:paraId="615829F9" w14:textId="77777777" w:rsidTr="0012638A">
        <w:trPr>
          <w:trHeight w:val="340"/>
        </w:trPr>
        <w:tc>
          <w:tcPr>
            <w:tcW w:w="4560" w:type="dxa"/>
            <w:tcBorders>
              <w:top w:val="nil"/>
              <w:left w:val="nil"/>
              <w:bottom w:val="nil"/>
              <w:right w:val="nil"/>
            </w:tcBorders>
            <w:shd w:val="clear" w:color="auto" w:fill="auto"/>
            <w:noWrap/>
            <w:vAlign w:val="center"/>
            <w:hideMark/>
          </w:tcPr>
          <w:p w14:paraId="2463988E" w14:textId="77777777" w:rsidR="0012638A" w:rsidRPr="001B11F1" w:rsidRDefault="0012638A" w:rsidP="0012638A">
            <w:pPr>
              <w:widowControl/>
              <w:jc w:val="right"/>
              <w:rPr>
                <w:rFonts w:asciiTheme="minorEastAsia" w:hAnsiTheme="minorEastAsia" w:cs="ＭＳ Ｐゴシック"/>
                <w:color w:val="000000"/>
                <w:kern w:val="0"/>
                <w:sz w:val="20"/>
                <w:szCs w:val="20"/>
              </w:rPr>
            </w:pPr>
          </w:p>
        </w:tc>
        <w:tc>
          <w:tcPr>
            <w:tcW w:w="1540" w:type="dxa"/>
            <w:tcBorders>
              <w:top w:val="nil"/>
              <w:left w:val="nil"/>
              <w:bottom w:val="nil"/>
              <w:right w:val="nil"/>
            </w:tcBorders>
            <w:shd w:val="clear" w:color="auto" w:fill="auto"/>
            <w:noWrap/>
            <w:vAlign w:val="center"/>
            <w:hideMark/>
          </w:tcPr>
          <w:p w14:paraId="1BE04A5E" w14:textId="77777777" w:rsidR="0012638A" w:rsidRPr="00C74F0E" w:rsidRDefault="0012638A" w:rsidP="0012638A">
            <w:pPr>
              <w:widowControl/>
              <w:jc w:val="left"/>
              <w:rPr>
                <w:rFonts w:ascii="Century" w:eastAsia="Times New Roman" w:hAnsi="Century" w:cs="Calibri"/>
                <w:kern w:val="0"/>
                <w:sz w:val="20"/>
                <w:szCs w:val="20"/>
              </w:rPr>
            </w:pPr>
          </w:p>
        </w:tc>
        <w:tc>
          <w:tcPr>
            <w:tcW w:w="1380" w:type="dxa"/>
            <w:tcBorders>
              <w:top w:val="nil"/>
              <w:left w:val="nil"/>
              <w:bottom w:val="nil"/>
              <w:right w:val="nil"/>
            </w:tcBorders>
            <w:shd w:val="clear" w:color="auto" w:fill="auto"/>
            <w:noWrap/>
            <w:vAlign w:val="center"/>
            <w:hideMark/>
          </w:tcPr>
          <w:p w14:paraId="0691B645" w14:textId="77777777" w:rsidR="0012638A" w:rsidRPr="00C74F0E" w:rsidRDefault="0012638A" w:rsidP="0012638A">
            <w:pPr>
              <w:widowControl/>
              <w:jc w:val="left"/>
              <w:rPr>
                <w:rFonts w:ascii="Century" w:eastAsia="Times New Roman" w:hAnsi="Century" w:cs="Calibri"/>
                <w:kern w:val="0"/>
                <w:sz w:val="20"/>
                <w:szCs w:val="20"/>
              </w:rPr>
            </w:pPr>
          </w:p>
        </w:tc>
        <w:tc>
          <w:tcPr>
            <w:tcW w:w="1380" w:type="dxa"/>
            <w:tcBorders>
              <w:top w:val="nil"/>
              <w:left w:val="nil"/>
              <w:bottom w:val="nil"/>
              <w:right w:val="nil"/>
            </w:tcBorders>
            <w:shd w:val="clear" w:color="auto" w:fill="auto"/>
            <w:noWrap/>
            <w:vAlign w:val="center"/>
            <w:hideMark/>
          </w:tcPr>
          <w:p w14:paraId="1F0A186F" w14:textId="77777777" w:rsidR="0012638A" w:rsidRPr="00C74F0E" w:rsidRDefault="0012638A" w:rsidP="0012638A">
            <w:pPr>
              <w:widowControl/>
              <w:jc w:val="left"/>
              <w:rPr>
                <w:rFonts w:ascii="Century" w:eastAsia="Times New Roman" w:hAnsi="Century" w:cs="Calibri"/>
                <w:kern w:val="0"/>
                <w:sz w:val="20"/>
                <w:szCs w:val="20"/>
              </w:rPr>
            </w:pPr>
          </w:p>
        </w:tc>
      </w:tr>
      <w:tr w:rsidR="0012638A" w:rsidRPr="0012638A" w14:paraId="6A8B8C9C" w14:textId="77777777" w:rsidTr="0012638A">
        <w:trPr>
          <w:trHeight w:val="340"/>
        </w:trPr>
        <w:tc>
          <w:tcPr>
            <w:tcW w:w="4560" w:type="dxa"/>
            <w:tcBorders>
              <w:top w:val="nil"/>
              <w:left w:val="nil"/>
              <w:bottom w:val="single" w:sz="4" w:space="0" w:color="auto"/>
              <w:right w:val="nil"/>
            </w:tcBorders>
            <w:shd w:val="clear" w:color="auto" w:fill="auto"/>
            <w:noWrap/>
            <w:vAlign w:val="center"/>
            <w:hideMark/>
          </w:tcPr>
          <w:p w14:paraId="0E4F1285" w14:textId="77777777" w:rsidR="0012638A" w:rsidRPr="001B11F1" w:rsidRDefault="0012638A" w:rsidP="0012638A">
            <w:pPr>
              <w:widowControl/>
              <w:jc w:val="left"/>
              <w:rPr>
                <w:rFonts w:asciiTheme="minorEastAsia" w:hAnsiTheme="minorEastAsia" w:cs="ＭＳ Ｐゴシック"/>
                <w:color w:val="000000"/>
                <w:kern w:val="0"/>
                <w:sz w:val="20"/>
                <w:szCs w:val="20"/>
              </w:rPr>
            </w:pPr>
            <w:r w:rsidRPr="001B11F1">
              <w:rPr>
                <w:rFonts w:asciiTheme="minorEastAsia" w:hAnsiTheme="minorEastAsia" w:cs="ＭＳ Ｐゴシック" w:hint="eastAsia"/>
                <w:color w:val="000000"/>
                <w:kern w:val="0"/>
                <w:sz w:val="20"/>
                <w:szCs w:val="20"/>
              </w:rPr>
              <w:t>フリーCF</w:t>
            </w:r>
          </w:p>
        </w:tc>
        <w:tc>
          <w:tcPr>
            <w:tcW w:w="1540" w:type="dxa"/>
            <w:tcBorders>
              <w:top w:val="nil"/>
              <w:left w:val="nil"/>
              <w:bottom w:val="single" w:sz="4" w:space="0" w:color="auto"/>
              <w:right w:val="nil"/>
            </w:tcBorders>
            <w:shd w:val="clear" w:color="auto" w:fill="auto"/>
            <w:noWrap/>
            <w:vAlign w:val="center"/>
            <w:hideMark/>
          </w:tcPr>
          <w:p w14:paraId="0A8642B9"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77,879 </w:t>
            </w:r>
          </w:p>
        </w:tc>
        <w:tc>
          <w:tcPr>
            <w:tcW w:w="1380" w:type="dxa"/>
            <w:tcBorders>
              <w:top w:val="nil"/>
              <w:left w:val="nil"/>
              <w:bottom w:val="single" w:sz="4" w:space="0" w:color="auto"/>
              <w:right w:val="nil"/>
            </w:tcBorders>
            <w:shd w:val="clear" w:color="auto" w:fill="auto"/>
            <w:noWrap/>
            <w:vAlign w:val="center"/>
            <w:hideMark/>
          </w:tcPr>
          <w:p w14:paraId="5BBA74D8"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FF0000"/>
                <w:kern w:val="0"/>
                <w:sz w:val="20"/>
                <w:szCs w:val="20"/>
              </w:rPr>
              <w:t xml:space="preserve">-386 </w:t>
            </w:r>
          </w:p>
        </w:tc>
        <w:tc>
          <w:tcPr>
            <w:tcW w:w="1380" w:type="dxa"/>
            <w:tcBorders>
              <w:top w:val="nil"/>
              <w:left w:val="nil"/>
              <w:bottom w:val="single" w:sz="4" w:space="0" w:color="auto"/>
              <w:right w:val="nil"/>
            </w:tcBorders>
            <w:shd w:val="clear" w:color="auto" w:fill="auto"/>
            <w:noWrap/>
            <w:vAlign w:val="center"/>
            <w:hideMark/>
          </w:tcPr>
          <w:p w14:paraId="1B2160CE" w14:textId="77777777" w:rsidR="0012638A" w:rsidRPr="00C74F0E" w:rsidRDefault="0012638A" w:rsidP="0012638A">
            <w:pPr>
              <w:widowControl/>
              <w:jc w:val="right"/>
              <w:rPr>
                <w:rFonts w:ascii="Century" w:eastAsia="游ゴシック" w:hAnsi="Century" w:cs="Calibri"/>
                <w:color w:val="000000"/>
                <w:kern w:val="0"/>
                <w:sz w:val="20"/>
                <w:szCs w:val="20"/>
              </w:rPr>
            </w:pPr>
            <w:r w:rsidRPr="00C74F0E">
              <w:rPr>
                <w:rFonts w:ascii="Century" w:eastAsia="游ゴシック" w:hAnsi="Century" w:cs="Calibri"/>
                <w:color w:val="000000"/>
                <w:kern w:val="0"/>
                <w:sz w:val="20"/>
                <w:szCs w:val="20"/>
              </w:rPr>
              <w:t xml:space="preserve">93,870 </w:t>
            </w:r>
          </w:p>
        </w:tc>
      </w:tr>
    </w:tbl>
    <w:p w14:paraId="069E2B58" w14:textId="660B57A8" w:rsidR="0012638A" w:rsidRPr="0024372F" w:rsidRDefault="0024372F" w:rsidP="0012638A">
      <w:r>
        <w:rPr>
          <w:rFonts w:hint="eastAsia"/>
        </w:rPr>
        <w:t>出典：オリエンタルランド</w:t>
      </w:r>
      <w:r w:rsidR="00AF3BD8">
        <w:rPr>
          <w:rFonts w:hint="eastAsia"/>
        </w:rPr>
        <w:t>社「有価証券報告書」</w:t>
      </w:r>
      <w:r>
        <w:rPr>
          <w:rFonts w:hint="eastAsia"/>
        </w:rPr>
        <w:t>より筆者作成。</w:t>
      </w:r>
      <w:r w:rsidR="00B15EF4">
        <w:rPr>
          <w:rFonts w:hint="eastAsia"/>
        </w:rPr>
        <w:t>単位は百万円。</w:t>
      </w:r>
    </w:p>
    <w:p w14:paraId="7CF18D4E" w14:textId="77777777" w:rsidR="00A64489" w:rsidRDefault="00A64489" w:rsidP="00A64489"/>
    <w:p w14:paraId="59C6EE55" w14:textId="5AC7BB80" w:rsidR="00A64489" w:rsidRPr="0012638A" w:rsidRDefault="00C01BB9" w:rsidP="00A64489">
      <w:pPr>
        <w:rPr>
          <w:b/>
          <w:bCs/>
        </w:rPr>
      </w:pPr>
      <w:r>
        <w:rPr>
          <w:b/>
          <w:bCs/>
        </w:rPr>
        <w:t>2</w:t>
      </w:r>
      <w:r>
        <w:rPr>
          <w:rFonts w:hint="eastAsia"/>
          <w:b/>
          <w:bCs/>
        </w:rPr>
        <w:t>－2－3</w:t>
      </w:r>
      <w:r w:rsidR="00A64489" w:rsidRPr="0012638A">
        <w:rPr>
          <w:rFonts w:hint="eastAsia"/>
          <w:b/>
          <w:bCs/>
        </w:rPr>
        <w:t>．</w:t>
      </w:r>
      <w:r w:rsidR="00A64489">
        <w:rPr>
          <w:rFonts w:hint="eastAsia"/>
          <w:b/>
          <w:bCs/>
        </w:rPr>
        <w:t>小括</w:t>
      </w:r>
    </w:p>
    <w:p w14:paraId="3FB21C9A" w14:textId="5D44006B" w:rsidR="00D144F7" w:rsidRDefault="00A64489" w:rsidP="00A64489">
      <w:r>
        <w:rPr>
          <w:rFonts w:hint="eastAsia"/>
        </w:rPr>
        <w:t xml:space="preserve">　</w:t>
      </w:r>
      <w:r w:rsidR="00D144F7">
        <w:rPr>
          <w:rFonts w:hint="eastAsia"/>
        </w:rPr>
        <w:t>このように、</w:t>
      </w:r>
      <w:r w:rsidR="000214C0">
        <w:rPr>
          <w:rFonts w:hint="eastAsia"/>
        </w:rPr>
        <w:t>OLC</w:t>
      </w:r>
      <w:r w:rsidR="00911633">
        <w:rPr>
          <w:rFonts w:hint="eastAsia"/>
        </w:rPr>
        <w:t>の</w:t>
      </w:r>
      <w:r w:rsidR="00D144F7">
        <w:rPr>
          <w:rFonts w:hint="eastAsia"/>
        </w:rPr>
        <w:t>財務諸表を</w:t>
      </w:r>
      <w:r w:rsidR="009C6029">
        <w:rPr>
          <w:rFonts w:hint="eastAsia"/>
        </w:rPr>
        <w:t>みる</w:t>
      </w:r>
      <w:r w:rsidR="00D144F7">
        <w:rPr>
          <w:rFonts w:hint="eastAsia"/>
        </w:rPr>
        <w:t>と、設備投資などの固定資産への投資が大きいものの、それを上回る経営成績で事業運営されており、経営成績も財務状態も安定していることがわかる。</w:t>
      </w:r>
      <w:r w:rsidR="00F12904">
        <w:rPr>
          <w:rFonts w:hint="eastAsia"/>
        </w:rPr>
        <w:t>仮に、</w:t>
      </w:r>
      <w:r w:rsidR="00FB7D76">
        <w:rPr>
          <w:rFonts w:hint="eastAsia"/>
        </w:rPr>
        <w:t>現在の状況</w:t>
      </w:r>
      <w:r w:rsidR="00F12904">
        <w:rPr>
          <w:rFonts w:hint="eastAsia"/>
        </w:rPr>
        <w:t>下で</w:t>
      </w:r>
      <w:r w:rsidR="00FB7D76">
        <w:rPr>
          <w:rFonts w:hint="eastAsia"/>
        </w:rPr>
        <w:t>完全休業した場合、換金可能な流動資産は約3100億円あり、かつこの他にも投資有価証券も保有しているため、売上高が</w:t>
      </w:r>
      <w:r w:rsidR="00F12904">
        <w:rPr>
          <w:rFonts w:hint="eastAsia"/>
        </w:rPr>
        <w:t>一切なくなったとしても、１年分の売上原価と販管費（約3600億円）を賄うことが</w:t>
      </w:r>
      <w:r w:rsidR="00CC554F">
        <w:rPr>
          <w:rFonts w:hint="eastAsia"/>
        </w:rPr>
        <w:t>可能な財政状態である。以下では、さらに議論を進め、財務諸表分析の一つである安全性分析を主として、</w:t>
      </w:r>
      <w:r w:rsidR="000214C0">
        <w:rPr>
          <w:rFonts w:hint="eastAsia"/>
        </w:rPr>
        <w:t>OLC</w:t>
      </w:r>
      <w:r w:rsidR="00CC554F">
        <w:rPr>
          <w:rFonts w:hint="eastAsia"/>
        </w:rPr>
        <w:t>の財政状態の健全性について考察する。</w:t>
      </w:r>
    </w:p>
    <w:p w14:paraId="35D61DCD" w14:textId="77777777" w:rsidR="00A1127F" w:rsidRDefault="00A1127F" w:rsidP="00A64489"/>
    <w:p w14:paraId="339C122A" w14:textId="78630F8D" w:rsidR="00CC554F" w:rsidRDefault="002573EA" w:rsidP="00A64489">
      <w:r>
        <w:rPr>
          <w:rFonts w:hint="eastAsia"/>
          <w:b/>
          <w:bCs/>
        </w:rPr>
        <w:t>2</w:t>
      </w:r>
      <w:r w:rsidR="00CC554F" w:rsidRPr="0012638A">
        <w:rPr>
          <w:rFonts w:hint="eastAsia"/>
          <w:b/>
          <w:bCs/>
        </w:rPr>
        <w:t>−</w:t>
      </w:r>
      <w:r w:rsidR="00C01BB9">
        <w:rPr>
          <w:rFonts w:hint="eastAsia"/>
          <w:b/>
          <w:bCs/>
        </w:rPr>
        <w:t>3</w:t>
      </w:r>
      <w:r w:rsidR="00CC554F" w:rsidRPr="0012638A">
        <w:rPr>
          <w:rFonts w:hint="eastAsia"/>
          <w:b/>
          <w:bCs/>
        </w:rPr>
        <w:t>．</w:t>
      </w:r>
      <w:r w:rsidR="00DB21E6">
        <w:rPr>
          <w:rFonts w:hint="eastAsia"/>
          <w:b/>
          <w:bCs/>
        </w:rPr>
        <w:t>オリエンタルランド社の</w:t>
      </w:r>
      <w:r w:rsidR="00CC554F">
        <w:rPr>
          <w:rFonts w:hint="eastAsia"/>
          <w:b/>
          <w:bCs/>
        </w:rPr>
        <w:t>財務分析</w:t>
      </w:r>
      <w:r w:rsidR="00DB21E6">
        <w:rPr>
          <w:rFonts w:hint="eastAsia"/>
        </w:rPr>
        <w:t xml:space="preserve"> </w:t>
      </w:r>
    </w:p>
    <w:p w14:paraId="0C57B515" w14:textId="55966A99" w:rsidR="00A1127F" w:rsidRPr="00A1127F" w:rsidRDefault="00A1127F" w:rsidP="00A64489">
      <w:r>
        <w:rPr>
          <w:rFonts w:hint="eastAsia"/>
        </w:rPr>
        <w:t xml:space="preserve">　本節では、オリエンタルランド社の財務分析を行い、企業の収益力を測定する。具体的には、企業の総合収益力として</w:t>
      </w:r>
      <w:r>
        <w:t>ROE</w:t>
      </w:r>
      <w:r>
        <w:rPr>
          <w:rFonts w:hint="eastAsia"/>
        </w:rPr>
        <w:t>（</w:t>
      </w:r>
      <w:r>
        <w:t>Return of Equity</w:t>
      </w:r>
      <w:r>
        <w:rPr>
          <w:rFonts w:hint="eastAsia"/>
        </w:rPr>
        <w:t>）を測定し、収益性・効率性・安全性の3つの観点から考察を行う。</w:t>
      </w:r>
    </w:p>
    <w:p w14:paraId="46D46BFD" w14:textId="77777777" w:rsidR="00A1127F" w:rsidRDefault="00A1127F" w:rsidP="00A64489"/>
    <w:p w14:paraId="0571A62F" w14:textId="31C2D593" w:rsidR="00DB21E6" w:rsidRDefault="002573EA" w:rsidP="00DB21E6">
      <w:r>
        <w:rPr>
          <w:rFonts w:hint="eastAsia"/>
          <w:b/>
          <w:bCs/>
        </w:rPr>
        <w:t>2</w:t>
      </w:r>
      <w:r w:rsidR="00DB21E6" w:rsidRPr="0012638A">
        <w:rPr>
          <w:rFonts w:hint="eastAsia"/>
          <w:b/>
          <w:bCs/>
        </w:rPr>
        <w:t>−</w:t>
      </w:r>
      <w:r w:rsidR="00C01BB9">
        <w:rPr>
          <w:rFonts w:hint="eastAsia"/>
          <w:b/>
          <w:bCs/>
        </w:rPr>
        <w:t>3</w:t>
      </w:r>
      <w:r w:rsidR="00DB21E6">
        <w:rPr>
          <w:rFonts w:hint="eastAsia"/>
          <w:b/>
          <w:bCs/>
        </w:rPr>
        <w:t>−</w:t>
      </w:r>
      <w:r w:rsidR="00C01BB9">
        <w:rPr>
          <w:rFonts w:hint="eastAsia"/>
          <w:b/>
          <w:bCs/>
        </w:rPr>
        <w:t>1</w:t>
      </w:r>
      <w:r w:rsidR="00DB21E6" w:rsidRPr="0012638A">
        <w:rPr>
          <w:rFonts w:hint="eastAsia"/>
          <w:b/>
          <w:bCs/>
        </w:rPr>
        <w:t>．</w:t>
      </w:r>
      <w:r w:rsidR="00DB21E6">
        <w:rPr>
          <w:rFonts w:hint="eastAsia"/>
          <w:b/>
          <w:bCs/>
        </w:rPr>
        <w:t>総合収益力（</w:t>
      </w:r>
      <w:r w:rsidR="00DB21E6">
        <w:rPr>
          <w:b/>
          <w:bCs/>
        </w:rPr>
        <w:t>ROE</w:t>
      </w:r>
      <w:r w:rsidR="00DB21E6">
        <w:rPr>
          <w:rFonts w:hint="eastAsia"/>
          <w:b/>
          <w:bCs/>
        </w:rPr>
        <w:t>）</w:t>
      </w:r>
      <w:r w:rsidR="00DB21E6">
        <w:rPr>
          <w:rFonts w:hint="eastAsia"/>
        </w:rPr>
        <w:t xml:space="preserve"> </w:t>
      </w:r>
    </w:p>
    <w:p w14:paraId="74011324" w14:textId="77777777" w:rsidR="00CC554F" w:rsidRDefault="00DB21E6" w:rsidP="00CC554F">
      <w:r>
        <w:rPr>
          <w:rFonts w:hint="eastAsia"/>
        </w:rPr>
        <w:t xml:space="preserve">　まず、企業の総合収益力を測る指標として</w:t>
      </w:r>
      <w:r>
        <w:t>ROE</w:t>
      </w:r>
      <w:r>
        <w:rPr>
          <w:rFonts w:hint="eastAsia"/>
        </w:rPr>
        <w:t>（</w:t>
      </w:r>
      <w:r>
        <w:t>Return of Equity</w:t>
      </w:r>
      <w:r>
        <w:rPr>
          <w:rFonts w:hint="eastAsia"/>
        </w:rPr>
        <w:t>）が挙げられる。</w:t>
      </w:r>
      <w:r>
        <w:t>ROE</w:t>
      </w:r>
      <w:r>
        <w:rPr>
          <w:rFonts w:hint="eastAsia"/>
        </w:rPr>
        <w:t>は</w:t>
      </w:r>
      <w:r w:rsidR="008931D3">
        <w:rPr>
          <w:rFonts w:hint="eastAsia"/>
        </w:rPr>
        <w:t>自己資本収益率と呼ばれ</w:t>
      </w:r>
      <w:r>
        <w:rPr>
          <w:rFonts w:hint="eastAsia"/>
        </w:rPr>
        <w:t>、自己資本に対する当期純利益の比率</w:t>
      </w:r>
      <w:r w:rsidR="008931D3">
        <w:rPr>
          <w:rFonts w:hint="eastAsia"/>
        </w:rPr>
        <w:t>として</w:t>
      </w:r>
      <w:r>
        <w:rPr>
          <w:rFonts w:hint="eastAsia"/>
        </w:rPr>
        <w:t>、次のように定式化される。</w:t>
      </w:r>
    </w:p>
    <w:p w14:paraId="68484383" w14:textId="4AA15630" w:rsidR="00DB21E6" w:rsidRPr="00C74F0E" w:rsidRDefault="00C74F0E" w:rsidP="00CC554F">
      <w:pPr>
        <w:rPr>
          <w:i/>
        </w:rPr>
      </w:pPr>
      <m:oMathPara>
        <m:oMath>
          <m:r>
            <w:rPr>
              <w:rFonts w:ascii="Cambria Math" w:hAnsi="Cambria Math"/>
            </w:rPr>
            <m:t>ROE=</m:t>
          </m:r>
          <m:f>
            <m:fPr>
              <m:ctrlPr>
                <w:rPr>
                  <w:rFonts w:ascii="Cambria Math" w:hAnsi="Cambria Math"/>
                  <w:i/>
                </w:rPr>
              </m:ctrlPr>
            </m:fPr>
            <m:num>
              <m:r>
                <w:rPr>
                  <w:rFonts w:ascii="Cambria Math" w:hAnsi="Cambria Math" w:hint="eastAsia"/>
                </w:rPr>
                <m:t>N</m:t>
              </m:r>
              <m:r>
                <w:rPr>
                  <w:rFonts w:ascii="Cambria Math" w:hAnsi="Cambria Math"/>
                </w:rPr>
                <m:t>I</m:t>
              </m:r>
            </m:num>
            <m:den>
              <m:r>
                <w:rPr>
                  <w:rFonts w:ascii="Cambria Math" w:hAnsi="Cambria Math"/>
                </w:rPr>
                <m:t>Equity</m:t>
              </m:r>
            </m:den>
          </m:f>
          <m:r>
            <w:rPr>
              <w:rFonts w:ascii="Cambria Math" w:hAnsi="Cambria Math" w:hint="eastAsia"/>
            </w:rPr>
            <m:t>=</m:t>
          </m:r>
          <m:f>
            <m:fPr>
              <m:ctrlPr>
                <w:rPr>
                  <w:rFonts w:ascii="Cambria Math" w:hAnsi="Cambria Math"/>
                  <w:i/>
                </w:rPr>
              </m:ctrlPr>
            </m:fPr>
            <m:num>
              <m:r>
                <w:rPr>
                  <w:rFonts w:ascii="Cambria Math" w:hAnsi="Cambria Math" w:hint="eastAsia"/>
                </w:rPr>
                <m:t>N</m:t>
              </m:r>
              <m:r>
                <w:rPr>
                  <w:rFonts w:ascii="Cambria Math" w:hAnsi="Cambria Math"/>
                </w:rPr>
                <m:t>I</m:t>
              </m:r>
            </m:num>
            <m:den>
              <m:r>
                <w:rPr>
                  <w:rFonts w:ascii="Cambria Math" w:hAnsi="Cambria Math" w:hint="eastAsia"/>
                </w:rPr>
                <m:t>s</m:t>
              </m:r>
              <m:r>
                <w:rPr>
                  <w:rFonts w:ascii="Cambria Math" w:hAnsi="Cambria Math"/>
                </w:rPr>
                <m:t>ales</m:t>
              </m:r>
            </m:den>
          </m:f>
          <m:r>
            <w:rPr>
              <w:rFonts w:ascii="Cambria Math" w:hAnsi="Cambria Math"/>
            </w:rPr>
            <m:t>×</m:t>
          </m:r>
          <m:f>
            <m:fPr>
              <m:ctrlPr>
                <w:rPr>
                  <w:rFonts w:ascii="Cambria Math" w:hAnsi="Cambria Math"/>
                  <w:i/>
                </w:rPr>
              </m:ctrlPr>
            </m:fPr>
            <m:num>
              <m:r>
                <w:rPr>
                  <w:rFonts w:ascii="Cambria Math" w:hAnsi="Cambria Math" w:hint="eastAsia"/>
                </w:rPr>
                <m:t>s</m:t>
              </m:r>
              <m:r>
                <w:rPr>
                  <w:rFonts w:ascii="Cambria Math" w:hAnsi="Cambria Math"/>
                </w:rPr>
                <m:t>ales</m:t>
              </m:r>
            </m:num>
            <m:den>
              <m:r>
                <w:rPr>
                  <w:rFonts w:ascii="Cambria Math" w:hAnsi="Cambria Math" w:hint="eastAsia"/>
                </w:rPr>
                <m:t>a</m:t>
              </m:r>
              <m:r>
                <w:rPr>
                  <w:rFonts w:ascii="Cambria Math" w:hAnsi="Cambria Math"/>
                </w:rPr>
                <m:t>ssets</m:t>
              </m:r>
            </m:den>
          </m:f>
          <m:r>
            <w:rPr>
              <w:rFonts w:ascii="Cambria Math" w:hAnsi="Cambria Math"/>
            </w:rPr>
            <m:t>×</m:t>
          </m:r>
          <m:f>
            <m:fPr>
              <m:ctrlPr>
                <w:rPr>
                  <w:rFonts w:ascii="Cambria Math" w:hAnsi="Cambria Math"/>
                  <w:i/>
                </w:rPr>
              </m:ctrlPr>
            </m:fPr>
            <m:num>
              <m:r>
                <w:rPr>
                  <w:rFonts w:ascii="Cambria Math" w:hAnsi="Cambria Math" w:hint="eastAsia"/>
                </w:rPr>
                <m:t>a</m:t>
              </m:r>
              <m:r>
                <w:rPr>
                  <w:rFonts w:ascii="Cambria Math" w:hAnsi="Cambria Math"/>
                </w:rPr>
                <m:t>ssets</m:t>
              </m:r>
            </m:num>
            <m:den>
              <m:r>
                <w:rPr>
                  <w:rFonts w:ascii="Cambria Math" w:hAnsi="Cambria Math" w:hint="eastAsia"/>
                </w:rPr>
                <m:t>E</m:t>
              </m:r>
              <m:r>
                <w:rPr>
                  <w:rFonts w:ascii="Cambria Math" w:hAnsi="Cambria Math"/>
                </w:rPr>
                <m:t>quity</m:t>
              </m:r>
            </m:den>
          </m:f>
        </m:oMath>
      </m:oMathPara>
    </w:p>
    <w:p w14:paraId="3752E71C" w14:textId="77777777" w:rsidR="003544E3" w:rsidRDefault="00604ABF" w:rsidP="00CC554F">
      <w:r>
        <w:rPr>
          <w:rFonts w:hint="eastAsia"/>
        </w:rPr>
        <w:t xml:space="preserve">　つまり、</w:t>
      </w:r>
      <w:r>
        <w:t>ROE</w:t>
      </w:r>
      <w:r>
        <w:rPr>
          <w:rFonts w:hint="eastAsia"/>
        </w:rPr>
        <w:t>は収益性・効率性・安全性の３つの指標に分解でき、それぞれ純利益率、総資産回転率、財務レバレッジに置き換えることができる。財務レバレッジは自己資本比率の逆数</w:t>
      </w:r>
      <w:r w:rsidR="003544E3">
        <w:rPr>
          <w:rFonts w:hint="eastAsia"/>
        </w:rPr>
        <w:t>をとり、</w:t>
      </w:r>
    </w:p>
    <w:p w14:paraId="0278F3F1" w14:textId="656B1C53" w:rsidR="00CC554F" w:rsidRPr="003544E3" w:rsidRDefault="003544E3" w:rsidP="00E841D4">
      <w:pPr>
        <w:spacing w:after="240"/>
        <w:rPr>
          <w:iCs/>
        </w:rPr>
      </w:pPr>
      <m:oMathPara>
        <m:oMath>
          <m:r>
            <m:rPr>
              <m:sty m:val="p"/>
            </m:rPr>
            <w:rPr>
              <w:rFonts w:ascii="Cambria Math" w:hAnsi="Cambria Math" w:hint="eastAsia"/>
            </w:rPr>
            <m:t>財務レバレッジ＝</m:t>
          </m:r>
          <m:f>
            <m:fPr>
              <m:ctrlPr>
                <w:rPr>
                  <w:rFonts w:ascii="Cambria Math" w:hAnsi="Cambria Math"/>
                  <w:iCs/>
                </w:rPr>
              </m:ctrlPr>
            </m:fPr>
            <m:num>
              <m:r>
                <m:rPr>
                  <m:sty m:val="p"/>
                </m:rPr>
                <w:rPr>
                  <w:rFonts w:ascii="Cambria Math" w:hAnsi="Cambria Math"/>
                </w:rPr>
                <m:t>1</m:t>
              </m:r>
              <m:ctrlPr>
                <w:rPr>
                  <w:rFonts w:ascii="Cambria Math" w:hAnsi="Cambria Math" w:hint="eastAsia"/>
                  <w:iCs/>
                </w:rPr>
              </m:ctrlPr>
            </m:num>
            <m:den>
              <m:f>
                <m:fPr>
                  <m:ctrlPr>
                    <w:rPr>
                      <w:rFonts w:ascii="Cambria Math" w:hAnsi="Cambria Math"/>
                      <w:i/>
                    </w:rPr>
                  </m:ctrlPr>
                </m:fPr>
                <m:num>
                  <m:r>
                    <w:rPr>
                      <w:rFonts w:ascii="Cambria Math" w:hAnsi="Cambria Math" w:hint="eastAsia"/>
                    </w:rPr>
                    <m:t>a</m:t>
                  </m:r>
                  <m:r>
                    <w:rPr>
                      <w:rFonts w:ascii="Cambria Math" w:hAnsi="Cambria Math"/>
                    </w:rPr>
                    <m:t>ssets</m:t>
                  </m:r>
                </m:num>
                <m:den>
                  <m:r>
                    <w:rPr>
                      <w:rFonts w:ascii="Cambria Math" w:hAnsi="Cambria Math" w:hint="eastAsia"/>
                    </w:rPr>
                    <m:t>E</m:t>
                  </m:r>
                  <m:r>
                    <w:rPr>
                      <w:rFonts w:ascii="Cambria Math" w:hAnsi="Cambria Math"/>
                    </w:rPr>
                    <m:t>quity</m:t>
                  </m:r>
                </m:den>
              </m:f>
            </m:den>
          </m:f>
          <m:r>
            <m:rPr>
              <m:sty m:val="p"/>
            </m:rPr>
            <w:rPr>
              <w:rFonts w:ascii="Cambria Math" w:hAnsi="Cambria Math" w:hint="eastAsia"/>
            </w:rPr>
            <m:t>＝</m:t>
          </m:r>
          <m:f>
            <m:fPr>
              <m:ctrlPr>
                <w:rPr>
                  <w:rFonts w:ascii="Cambria Math" w:hAnsi="Cambria Math"/>
                </w:rPr>
              </m:ctrlPr>
            </m:fPr>
            <m:num>
              <m:r>
                <m:rPr>
                  <m:sty m:val="p"/>
                </m:rPr>
                <w:rPr>
                  <w:rFonts w:ascii="Cambria Math" w:hAnsi="Cambria Math"/>
                </w:rPr>
                <m:t>1</m:t>
              </m:r>
            </m:num>
            <m:den>
              <m:r>
                <m:rPr>
                  <m:sty m:val="p"/>
                </m:rPr>
                <w:rPr>
                  <w:rFonts w:ascii="Cambria Math" w:hAnsi="Cambria Math" w:hint="eastAsia"/>
                </w:rPr>
                <m:t>自己資本比率</m:t>
              </m:r>
            </m:den>
          </m:f>
        </m:oMath>
      </m:oMathPara>
    </w:p>
    <w:p w14:paraId="75332510" w14:textId="77777777" w:rsidR="003544E3" w:rsidRDefault="003544E3" w:rsidP="00CC554F">
      <w:r>
        <w:rPr>
          <w:rFonts w:hint="eastAsia"/>
        </w:rPr>
        <w:t>となる。自己資本比率は、負債・純資産の合計額（総資産）に対する返済不要の自己資本の比率を表しており、自己資本比率が高いほど負債である借入金が少ないと判断される。</w:t>
      </w:r>
    </w:p>
    <w:p w14:paraId="4621BFB7" w14:textId="29F07098" w:rsidR="003B4230" w:rsidRDefault="00E40303" w:rsidP="00465D2E">
      <w:pPr>
        <w:ind w:firstLineChars="100" w:firstLine="210"/>
      </w:pPr>
      <w:r>
        <w:rPr>
          <w:rFonts w:hint="eastAsia"/>
        </w:rPr>
        <w:t>表５は、</w:t>
      </w:r>
      <w:r w:rsidR="000214C0">
        <w:rPr>
          <w:rFonts w:hint="eastAsia"/>
        </w:rPr>
        <w:t>OLC</w:t>
      </w:r>
      <w:r>
        <w:rPr>
          <w:rFonts w:hint="eastAsia"/>
        </w:rPr>
        <w:t>の財務情報をもとに、これらの指標を計算したものである。</w:t>
      </w:r>
      <w:r w:rsidR="00F23D0D">
        <w:rPr>
          <w:rFonts w:hint="eastAsia"/>
        </w:rPr>
        <w:t>2020年度</w:t>
      </w:r>
      <w:r w:rsidR="00866310">
        <w:rPr>
          <w:rFonts w:hint="eastAsia"/>
        </w:rPr>
        <w:t>の１月から３月は、新型コロナウイルスの影響に伴い、事業売上が伸びず純利益率と総資産回転率は低下している。</w:t>
      </w:r>
      <w:r w:rsidR="008931D3">
        <w:rPr>
          <w:rFonts w:hint="eastAsia"/>
        </w:rPr>
        <w:t>一方で、財務レバレッジも低下しているが、自己資本比率が上昇しているため、</w:t>
      </w:r>
      <w:r w:rsidR="001A40E5">
        <w:rPr>
          <w:rFonts w:hint="eastAsia"/>
        </w:rPr>
        <w:t>負債の割合が低下し、財務上の</w:t>
      </w:r>
      <w:r w:rsidR="008931D3">
        <w:rPr>
          <w:rFonts w:hint="eastAsia"/>
        </w:rPr>
        <w:t>安全性は向上している。</w:t>
      </w:r>
      <w:r w:rsidR="00465D2E">
        <w:rPr>
          <w:rFonts w:hint="eastAsia"/>
        </w:rPr>
        <w:t>実際、</w:t>
      </w:r>
      <w:r w:rsidR="001A40E5">
        <w:rPr>
          <w:rFonts w:hint="eastAsia"/>
        </w:rPr>
        <w:t>自己資本比率は</w:t>
      </w:r>
      <w:r w:rsidR="001A40E5">
        <w:t>81.2%</w:t>
      </w:r>
      <w:r w:rsidR="001A40E5">
        <w:rPr>
          <w:rFonts w:hint="eastAsia"/>
        </w:rPr>
        <w:t>に上昇し、前年度と比較して５ポイント増加している。</w:t>
      </w:r>
      <w:r w:rsidR="003B4230">
        <w:rPr>
          <w:rFonts w:hint="eastAsia"/>
        </w:rPr>
        <w:t>この他に、法人企業統計によると、全産業の自己資本比率の平均は約42％であり、その数値と比較しても、</w:t>
      </w:r>
      <w:r w:rsidR="000214C0">
        <w:rPr>
          <w:rFonts w:hint="eastAsia"/>
        </w:rPr>
        <w:t>OLC</w:t>
      </w:r>
      <w:r w:rsidR="003B4230">
        <w:rPr>
          <w:rFonts w:hint="eastAsia"/>
        </w:rPr>
        <w:t>の数値は突出していることがわかる。</w:t>
      </w:r>
    </w:p>
    <w:p w14:paraId="17C4A56D" w14:textId="1A8837FB" w:rsidR="00F23D0D" w:rsidRDefault="003B4230" w:rsidP="00465D2E">
      <w:pPr>
        <w:ind w:firstLineChars="100" w:firstLine="210"/>
      </w:pPr>
      <w:r>
        <w:rPr>
          <w:rFonts w:hint="eastAsia"/>
        </w:rPr>
        <w:t>このように</w:t>
      </w:r>
      <w:r w:rsidR="008931D3">
        <w:rPr>
          <w:rFonts w:hint="eastAsia"/>
        </w:rPr>
        <w:t>、2020年度の</w:t>
      </w:r>
      <w:r w:rsidR="008D3845">
        <w:rPr>
          <w:rFonts w:hint="eastAsia"/>
        </w:rPr>
        <w:t>R</w:t>
      </w:r>
      <w:r w:rsidR="008D3845">
        <w:t>OE</w:t>
      </w:r>
      <w:r w:rsidR="008D3845">
        <w:rPr>
          <w:rFonts w:hint="eastAsia"/>
        </w:rPr>
        <w:t>の指標をみると、新型コロナの影響により、企業の収益力が低下しているのは明らかである。ただし</w:t>
      </w:r>
      <w:r w:rsidR="008931D3">
        <w:rPr>
          <w:rFonts w:hint="eastAsia"/>
        </w:rPr>
        <w:t>、企業の</w:t>
      </w:r>
      <w:r w:rsidR="00866310">
        <w:rPr>
          <w:rFonts w:hint="eastAsia"/>
        </w:rPr>
        <w:t>収益性と効率性</w:t>
      </w:r>
      <w:r w:rsidR="008931D3">
        <w:rPr>
          <w:rFonts w:hint="eastAsia"/>
        </w:rPr>
        <w:t>は</w:t>
      </w:r>
      <w:r w:rsidR="00866310">
        <w:rPr>
          <w:rFonts w:hint="eastAsia"/>
        </w:rPr>
        <w:t>低下</w:t>
      </w:r>
      <w:r w:rsidR="008D3845">
        <w:rPr>
          <w:rFonts w:hint="eastAsia"/>
        </w:rPr>
        <w:t>する一方で、自己資本比率が上昇し、</w:t>
      </w:r>
      <w:r w:rsidR="008931D3">
        <w:rPr>
          <w:rFonts w:hint="eastAsia"/>
        </w:rPr>
        <w:t>財務</w:t>
      </w:r>
      <w:r w:rsidR="007E008C">
        <w:rPr>
          <w:rFonts w:hint="eastAsia"/>
        </w:rPr>
        <w:t>上</w:t>
      </w:r>
      <w:r w:rsidR="008931D3">
        <w:rPr>
          <w:rFonts w:hint="eastAsia"/>
        </w:rPr>
        <w:t>の安全性は</w:t>
      </w:r>
      <w:r w:rsidR="007E008C">
        <w:rPr>
          <w:rFonts w:hint="eastAsia"/>
        </w:rPr>
        <w:t>より堅固となったと</w:t>
      </w:r>
      <w:r w:rsidR="008931D3">
        <w:rPr>
          <w:rFonts w:hint="eastAsia"/>
        </w:rPr>
        <w:t>結論づけられる。</w:t>
      </w:r>
    </w:p>
    <w:p w14:paraId="2C567C58" w14:textId="77777777" w:rsidR="000214C0" w:rsidRDefault="000214C0" w:rsidP="00CC554F"/>
    <w:p w14:paraId="381F85F1" w14:textId="77777777" w:rsidR="00F23D0D" w:rsidRDefault="00F23D0D" w:rsidP="00CC554F">
      <w:r>
        <w:rPr>
          <w:rFonts w:hint="eastAsia"/>
        </w:rPr>
        <w:t>表５　オリエンタルランド社の</w:t>
      </w:r>
      <w:r>
        <w:t>ROE</w:t>
      </w:r>
      <w:r>
        <w:rPr>
          <w:rFonts w:hint="eastAsia"/>
        </w:rPr>
        <w:t>（純利益率・総資産回転率・財務レバレッジ）</w:t>
      </w:r>
    </w:p>
    <w:tbl>
      <w:tblPr>
        <w:tblW w:w="8920" w:type="dxa"/>
        <w:tblCellMar>
          <w:left w:w="99" w:type="dxa"/>
          <w:right w:w="99" w:type="dxa"/>
        </w:tblCellMar>
        <w:tblLook w:val="04A0" w:firstRow="1" w:lastRow="0" w:firstColumn="1" w:lastColumn="0" w:noHBand="0" w:noVBand="1"/>
      </w:tblPr>
      <w:tblGrid>
        <w:gridCol w:w="4560"/>
        <w:gridCol w:w="1560"/>
        <w:gridCol w:w="1400"/>
        <w:gridCol w:w="1400"/>
      </w:tblGrid>
      <w:tr w:rsidR="00F23D0D" w:rsidRPr="00F23D0D" w14:paraId="0FC416A7" w14:textId="77777777" w:rsidTr="00F23D0D">
        <w:trPr>
          <w:trHeight w:val="340"/>
        </w:trPr>
        <w:tc>
          <w:tcPr>
            <w:tcW w:w="4560" w:type="dxa"/>
            <w:tcBorders>
              <w:top w:val="single" w:sz="4" w:space="0" w:color="auto"/>
              <w:left w:val="nil"/>
              <w:bottom w:val="single" w:sz="4" w:space="0" w:color="auto"/>
              <w:right w:val="nil"/>
            </w:tcBorders>
            <w:shd w:val="clear" w:color="auto" w:fill="auto"/>
            <w:noWrap/>
            <w:vAlign w:val="center"/>
            <w:hideMark/>
          </w:tcPr>
          <w:p w14:paraId="2C624FBC" w14:textId="77777777" w:rsidR="00F23D0D" w:rsidRPr="00F23D0D" w:rsidRDefault="00F23D0D" w:rsidP="00F23D0D">
            <w:pPr>
              <w:widowControl/>
              <w:jc w:val="left"/>
              <w:rPr>
                <w:rFonts w:ascii="游ゴシック" w:eastAsia="游ゴシック" w:hAnsi="游ゴシック" w:cs="ＭＳ Ｐゴシック"/>
                <w:b/>
                <w:bCs/>
                <w:color w:val="000000"/>
                <w:kern w:val="0"/>
                <w:sz w:val="20"/>
                <w:szCs w:val="20"/>
              </w:rPr>
            </w:pPr>
            <w:r w:rsidRPr="00F23D0D">
              <w:rPr>
                <w:rFonts w:ascii="游ゴシック" w:eastAsia="游ゴシック" w:hAnsi="游ゴシック" w:cs="ＭＳ Ｐゴシック" w:hint="eastAsia"/>
                <w:b/>
                <w:bCs/>
                <w:color w:val="000000"/>
                <w:kern w:val="0"/>
                <w:sz w:val="20"/>
                <w:szCs w:val="20"/>
              </w:rPr>
              <w:t xml:space="preserve">　</w:t>
            </w:r>
          </w:p>
        </w:tc>
        <w:tc>
          <w:tcPr>
            <w:tcW w:w="1560" w:type="dxa"/>
            <w:tcBorders>
              <w:top w:val="single" w:sz="4" w:space="0" w:color="auto"/>
              <w:left w:val="nil"/>
              <w:bottom w:val="single" w:sz="4" w:space="0" w:color="auto"/>
              <w:right w:val="nil"/>
            </w:tcBorders>
            <w:shd w:val="clear" w:color="auto" w:fill="auto"/>
            <w:noWrap/>
            <w:vAlign w:val="center"/>
            <w:hideMark/>
          </w:tcPr>
          <w:p w14:paraId="5299A953" w14:textId="77777777" w:rsidR="00F23D0D" w:rsidRPr="00F23D0D" w:rsidRDefault="00F23D0D" w:rsidP="00F23D0D">
            <w:pPr>
              <w:widowControl/>
              <w:jc w:val="center"/>
              <w:rPr>
                <w:rFonts w:ascii="游ゴシック" w:eastAsia="游ゴシック" w:hAnsi="游ゴシック" w:cs="ＭＳ Ｐゴシック"/>
                <w:b/>
                <w:bCs/>
                <w:color w:val="000000"/>
                <w:kern w:val="0"/>
                <w:sz w:val="20"/>
                <w:szCs w:val="20"/>
              </w:rPr>
            </w:pPr>
            <w:r w:rsidRPr="00F23D0D">
              <w:rPr>
                <w:rFonts w:ascii="游ゴシック" w:eastAsia="游ゴシック" w:hAnsi="游ゴシック" w:cs="ＭＳ Ｐゴシック" w:hint="eastAsia"/>
                <w:b/>
                <w:bCs/>
                <w:color w:val="000000"/>
                <w:kern w:val="0"/>
                <w:sz w:val="20"/>
                <w:szCs w:val="20"/>
              </w:rPr>
              <w:t>2018</w:t>
            </w:r>
          </w:p>
        </w:tc>
        <w:tc>
          <w:tcPr>
            <w:tcW w:w="1400" w:type="dxa"/>
            <w:tcBorders>
              <w:top w:val="single" w:sz="4" w:space="0" w:color="auto"/>
              <w:left w:val="nil"/>
              <w:bottom w:val="single" w:sz="4" w:space="0" w:color="auto"/>
              <w:right w:val="nil"/>
            </w:tcBorders>
            <w:shd w:val="clear" w:color="auto" w:fill="auto"/>
            <w:noWrap/>
            <w:vAlign w:val="center"/>
            <w:hideMark/>
          </w:tcPr>
          <w:p w14:paraId="6C01C0AC" w14:textId="77777777" w:rsidR="00F23D0D" w:rsidRPr="00F23D0D" w:rsidRDefault="00F23D0D" w:rsidP="00F23D0D">
            <w:pPr>
              <w:widowControl/>
              <w:jc w:val="center"/>
              <w:rPr>
                <w:rFonts w:ascii="游ゴシック" w:eastAsia="游ゴシック" w:hAnsi="游ゴシック" w:cs="ＭＳ Ｐゴシック"/>
                <w:b/>
                <w:bCs/>
                <w:color w:val="000000"/>
                <w:kern w:val="0"/>
                <w:sz w:val="20"/>
                <w:szCs w:val="20"/>
              </w:rPr>
            </w:pPr>
            <w:r w:rsidRPr="00F23D0D">
              <w:rPr>
                <w:rFonts w:ascii="游ゴシック" w:eastAsia="游ゴシック" w:hAnsi="游ゴシック" w:cs="ＭＳ Ｐゴシック" w:hint="eastAsia"/>
                <w:b/>
                <w:bCs/>
                <w:color w:val="000000"/>
                <w:kern w:val="0"/>
                <w:sz w:val="20"/>
                <w:szCs w:val="20"/>
              </w:rPr>
              <w:t>2019</w:t>
            </w:r>
          </w:p>
        </w:tc>
        <w:tc>
          <w:tcPr>
            <w:tcW w:w="1400" w:type="dxa"/>
            <w:tcBorders>
              <w:top w:val="single" w:sz="4" w:space="0" w:color="auto"/>
              <w:left w:val="nil"/>
              <w:bottom w:val="single" w:sz="4" w:space="0" w:color="auto"/>
              <w:right w:val="nil"/>
            </w:tcBorders>
            <w:shd w:val="clear" w:color="auto" w:fill="auto"/>
            <w:noWrap/>
            <w:vAlign w:val="center"/>
            <w:hideMark/>
          </w:tcPr>
          <w:p w14:paraId="1A49796D" w14:textId="77777777" w:rsidR="00F23D0D" w:rsidRPr="00F23D0D" w:rsidRDefault="00F23D0D" w:rsidP="00F23D0D">
            <w:pPr>
              <w:widowControl/>
              <w:jc w:val="center"/>
              <w:rPr>
                <w:rFonts w:ascii="游ゴシック" w:eastAsia="游ゴシック" w:hAnsi="游ゴシック" w:cs="ＭＳ Ｐゴシック"/>
                <w:b/>
                <w:bCs/>
                <w:color w:val="000000"/>
                <w:kern w:val="0"/>
                <w:sz w:val="20"/>
                <w:szCs w:val="20"/>
              </w:rPr>
            </w:pPr>
            <w:r w:rsidRPr="00F23D0D">
              <w:rPr>
                <w:rFonts w:ascii="游ゴシック" w:eastAsia="游ゴシック" w:hAnsi="游ゴシック" w:cs="ＭＳ Ｐゴシック" w:hint="eastAsia"/>
                <w:b/>
                <w:bCs/>
                <w:color w:val="000000"/>
                <w:kern w:val="0"/>
                <w:sz w:val="20"/>
                <w:szCs w:val="20"/>
              </w:rPr>
              <w:t>2020</w:t>
            </w:r>
          </w:p>
        </w:tc>
      </w:tr>
      <w:tr w:rsidR="00F23D0D" w:rsidRPr="00F23D0D" w14:paraId="199A43CD" w14:textId="77777777" w:rsidTr="00F23D0D">
        <w:trPr>
          <w:trHeight w:val="340"/>
        </w:trPr>
        <w:tc>
          <w:tcPr>
            <w:tcW w:w="4560" w:type="dxa"/>
            <w:tcBorders>
              <w:top w:val="nil"/>
              <w:left w:val="nil"/>
              <w:bottom w:val="nil"/>
              <w:right w:val="nil"/>
            </w:tcBorders>
            <w:shd w:val="clear" w:color="auto" w:fill="auto"/>
            <w:noWrap/>
            <w:vAlign w:val="center"/>
            <w:hideMark/>
          </w:tcPr>
          <w:p w14:paraId="70A5C627" w14:textId="77777777" w:rsidR="00F23D0D" w:rsidRPr="0024372F" w:rsidRDefault="00F23D0D" w:rsidP="00F23D0D">
            <w:pPr>
              <w:widowControl/>
              <w:jc w:val="left"/>
              <w:rPr>
                <w:rFonts w:asciiTheme="minorEastAsia" w:hAnsiTheme="minorEastAsia" w:cs="ＭＳ Ｐゴシック"/>
                <w:b/>
                <w:bCs/>
                <w:color w:val="000000"/>
                <w:kern w:val="0"/>
                <w:sz w:val="20"/>
                <w:szCs w:val="20"/>
              </w:rPr>
            </w:pPr>
            <w:r w:rsidRPr="0024372F">
              <w:rPr>
                <w:rFonts w:asciiTheme="minorEastAsia" w:hAnsiTheme="minorEastAsia" w:cs="ＭＳ Ｐゴシック" w:hint="eastAsia"/>
                <w:b/>
                <w:bCs/>
                <w:color w:val="000000"/>
                <w:kern w:val="0"/>
                <w:sz w:val="20"/>
                <w:szCs w:val="20"/>
              </w:rPr>
              <w:t>ROEの分解</w:t>
            </w:r>
          </w:p>
        </w:tc>
        <w:tc>
          <w:tcPr>
            <w:tcW w:w="1560" w:type="dxa"/>
            <w:tcBorders>
              <w:top w:val="nil"/>
              <w:left w:val="nil"/>
              <w:bottom w:val="nil"/>
              <w:right w:val="nil"/>
            </w:tcBorders>
            <w:shd w:val="clear" w:color="auto" w:fill="auto"/>
            <w:noWrap/>
            <w:vAlign w:val="center"/>
            <w:hideMark/>
          </w:tcPr>
          <w:p w14:paraId="22AFBCEE" w14:textId="77777777" w:rsidR="00F23D0D" w:rsidRPr="00F23D0D" w:rsidRDefault="00F23D0D" w:rsidP="00F23D0D">
            <w:pPr>
              <w:widowControl/>
              <w:jc w:val="left"/>
              <w:rPr>
                <w:rFonts w:ascii="游ゴシック" w:eastAsia="游ゴシック" w:hAnsi="游ゴシック" w:cs="ＭＳ Ｐゴシック"/>
                <w:b/>
                <w:bCs/>
                <w:color w:val="000000"/>
                <w:kern w:val="0"/>
                <w:sz w:val="20"/>
                <w:szCs w:val="20"/>
              </w:rPr>
            </w:pPr>
          </w:p>
        </w:tc>
        <w:tc>
          <w:tcPr>
            <w:tcW w:w="1400" w:type="dxa"/>
            <w:tcBorders>
              <w:top w:val="nil"/>
              <w:left w:val="nil"/>
              <w:bottom w:val="nil"/>
              <w:right w:val="nil"/>
            </w:tcBorders>
            <w:shd w:val="clear" w:color="auto" w:fill="auto"/>
            <w:noWrap/>
            <w:vAlign w:val="center"/>
            <w:hideMark/>
          </w:tcPr>
          <w:p w14:paraId="4AEFCC8E" w14:textId="77777777" w:rsidR="00F23D0D" w:rsidRPr="00F23D0D" w:rsidRDefault="00F23D0D" w:rsidP="00F23D0D">
            <w:pPr>
              <w:widowControl/>
              <w:jc w:val="left"/>
              <w:rPr>
                <w:rFonts w:ascii="Times New Roman" w:eastAsia="Times New Roman" w:hAnsi="Times New Roman" w:cs="Times New Roman"/>
                <w:kern w:val="0"/>
                <w:sz w:val="20"/>
                <w:szCs w:val="20"/>
              </w:rPr>
            </w:pPr>
          </w:p>
        </w:tc>
        <w:tc>
          <w:tcPr>
            <w:tcW w:w="1400" w:type="dxa"/>
            <w:tcBorders>
              <w:top w:val="nil"/>
              <w:left w:val="nil"/>
              <w:bottom w:val="nil"/>
              <w:right w:val="nil"/>
            </w:tcBorders>
            <w:shd w:val="clear" w:color="auto" w:fill="auto"/>
            <w:noWrap/>
            <w:vAlign w:val="center"/>
            <w:hideMark/>
          </w:tcPr>
          <w:p w14:paraId="6C87321C" w14:textId="77777777" w:rsidR="00F23D0D" w:rsidRPr="00F23D0D" w:rsidRDefault="00F23D0D" w:rsidP="00F23D0D">
            <w:pPr>
              <w:widowControl/>
              <w:jc w:val="left"/>
              <w:rPr>
                <w:rFonts w:ascii="Times New Roman" w:eastAsia="Times New Roman" w:hAnsi="Times New Roman" w:cs="Times New Roman"/>
                <w:kern w:val="0"/>
                <w:sz w:val="20"/>
                <w:szCs w:val="20"/>
              </w:rPr>
            </w:pPr>
          </w:p>
        </w:tc>
      </w:tr>
      <w:tr w:rsidR="00F23D0D" w:rsidRPr="00F23D0D" w14:paraId="59F517EF" w14:textId="77777777" w:rsidTr="00F23D0D">
        <w:trPr>
          <w:trHeight w:val="340"/>
        </w:trPr>
        <w:tc>
          <w:tcPr>
            <w:tcW w:w="4560" w:type="dxa"/>
            <w:tcBorders>
              <w:top w:val="nil"/>
              <w:left w:val="nil"/>
              <w:bottom w:val="nil"/>
              <w:right w:val="nil"/>
            </w:tcBorders>
            <w:shd w:val="clear" w:color="auto" w:fill="auto"/>
            <w:noWrap/>
            <w:vAlign w:val="center"/>
            <w:hideMark/>
          </w:tcPr>
          <w:p w14:paraId="4E27CB0A" w14:textId="77777777" w:rsidR="00F23D0D" w:rsidRPr="0024372F" w:rsidRDefault="00F23D0D" w:rsidP="00F23D0D">
            <w:pPr>
              <w:widowControl/>
              <w:jc w:val="left"/>
              <w:rPr>
                <w:rFonts w:asciiTheme="minorEastAsia" w:hAnsiTheme="minorEastAsia" w:cs="ＭＳ Ｐゴシック"/>
                <w:b/>
                <w:bCs/>
                <w:color w:val="000000"/>
                <w:kern w:val="0"/>
                <w:sz w:val="20"/>
                <w:szCs w:val="20"/>
              </w:rPr>
            </w:pPr>
            <w:r w:rsidRPr="0024372F">
              <w:rPr>
                <w:rFonts w:asciiTheme="minorEastAsia" w:hAnsiTheme="minorEastAsia" w:cs="ＭＳ Ｐゴシック" w:hint="eastAsia"/>
                <w:b/>
                <w:bCs/>
                <w:color w:val="000000"/>
                <w:kern w:val="0"/>
                <w:sz w:val="20"/>
                <w:szCs w:val="20"/>
              </w:rPr>
              <w:t>ROE</w:t>
            </w:r>
          </w:p>
        </w:tc>
        <w:tc>
          <w:tcPr>
            <w:tcW w:w="1560" w:type="dxa"/>
            <w:tcBorders>
              <w:top w:val="nil"/>
              <w:left w:val="nil"/>
              <w:bottom w:val="nil"/>
              <w:right w:val="nil"/>
            </w:tcBorders>
            <w:shd w:val="clear" w:color="auto" w:fill="auto"/>
            <w:noWrap/>
            <w:vAlign w:val="center"/>
            <w:hideMark/>
          </w:tcPr>
          <w:p w14:paraId="67A527FB" w14:textId="77777777" w:rsidR="00F23D0D" w:rsidRPr="00F23D0D" w:rsidRDefault="00F23D0D" w:rsidP="00F23D0D">
            <w:pPr>
              <w:widowControl/>
              <w:jc w:val="right"/>
              <w:rPr>
                <w:rFonts w:ascii="游ゴシック" w:eastAsia="游ゴシック" w:hAnsi="游ゴシック" w:cs="ＭＳ Ｐゴシック"/>
                <w:b/>
                <w:bCs/>
                <w:color w:val="000000"/>
                <w:kern w:val="0"/>
                <w:sz w:val="20"/>
                <w:szCs w:val="20"/>
              </w:rPr>
            </w:pPr>
            <w:r w:rsidRPr="00F23D0D">
              <w:rPr>
                <w:rFonts w:ascii="游ゴシック" w:eastAsia="游ゴシック" w:hAnsi="游ゴシック" w:cs="ＭＳ Ｐゴシック" w:hint="eastAsia"/>
                <w:b/>
                <w:bCs/>
                <w:color w:val="000000"/>
                <w:kern w:val="0"/>
                <w:sz w:val="20"/>
                <w:szCs w:val="20"/>
              </w:rPr>
              <w:t>11.2%</w:t>
            </w:r>
          </w:p>
        </w:tc>
        <w:tc>
          <w:tcPr>
            <w:tcW w:w="1400" w:type="dxa"/>
            <w:tcBorders>
              <w:top w:val="nil"/>
              <w:left w:val="nil"/>
              <w:bottom w:val="nil"/>
              <w:right w:val="nil"/>
            </w:tcBorders>
            <w:shd w:val="clear" w:color="auto" w:fill="auto"/>
            <w:noWrap/>
            <w:vAlign w:val="center"/>
            <w:hideMark/>
          </w:tcPr>
          <w:p w14:paraId="45FBB0DC" w14:textId="77777777" w:rsidR="00F23D0D" w:rsidRPr="00F23D0D" w:rsidRDefault="00F23D0D" w:rsidP="00F23D0D">
            <w:pPr>
              <w:widowControl/>
              <w:jc w:val="right"/>
              <w:rPr>
                <w:rFonts w:ascii="游ゴシック" w:eastAsia="游ゴシック" w:hAnsi="游ゴシック" w:cs="ＭＳ Ｐゴシック"/>
                <w:b/>
                <w:bCs/>
                <w:color w:val="000000"/>
                <w:kern w:val="0"/>
                <w:sz w:val="20"/>
                <w:szCs w:val="20"/>
              </w:rPr>
            </w:pPr>
            <w:r w:rsidRPr="00F23D0D">
              <w:rPr>
                <w:rFonts w:ascii="游ゴシック" w:eastAsia="游ゴシック" w:hAnsi="游ゴシック" w:cs="ＭＳ Ｐゴシック" w:hint="eastAsia"/>
                <w:b/>
                <w:bCs/>
                <w:color w:val="000000"/>
                <w:kern w:val="0"/>
                <w:sz w:val="20"/>
                <w:szCs w:val="20"/>
              </w:rPr>
              <w:t>11.2%</w:t>
            </w:r>
          </w:p>
        </w:tc>
        <w:tc>
          <w:tcPr>
            <w:tcW w:w="1400" w:type="dxa"/>
            <w:tcBorders>
              <w:top w:val="nil"/>
              <w:left w:val="nil"/>
              <w:bottom w:val="nil"/>
              <w:right w:val="nil"/>
            </w:tcBorders>
            <w:shd w:val="clear" w:color="auto" w:fill="auto"/>
            <w:noWrap/>
            <w:vAlign w:val="center"/>
            <w:hideMark/>
          </w:tcPr>
          <w:p w14:paraId="63BCB83E" w14:textId="77777777" w:rsidR="00F23D0D" w:rsidRPr="00F23D0D" w:rsidRDefault="00F23D0D" w:rsidP="00F23D0D">
            <w:pPr>
              <w:widowControl/>
              <w:jc w:val="right"/>
              <w:rPr>
                <w:rFonts w:ascii="游ゴシック" w:eastAsia="游ゴシック" w:hAnsi="游ゴシック" w:cs="ＭＳ Ｐゴシック"/>
                <w:b/>
                <w:bCs/>
                <w:color w:val="000000"/>
                <w:kern w:val="0"/>
                <w:sz w:val="20"/>
                <w:szCs w:val="20"/>
              </w:rPr>
            </w:pPr>
            <w:r w:rsidRPr="00F23D0D">
              <w:rPr>
                <w:rFonts w:ascii="游ゴシック" w:eastAsia="游ゴシック" w:hAnsi="游ゴシック" w:cs="ＭＳ Ｐゴシック" w:hint="eastAsia"/>
                <w:b/>
                <w:bCs/>
                <w:color w:val="000000"/>
                <w:kern w:val="0"/>
                <w:sz w:val="20"/>
                <w:szCs w:val="20"/>
              </w:rPr>
              <w:t>7.6%</w:t>
            </w:r>
          </w:p>
        </w:tc>
      </w:tr>
      <w:tr w:rsidR="00F23D0D" w:rsidRPr="00F23D0D" w14:paraId="45B410AC" w14:textId="77777777" w:rsidTr="00F23D0D">
        <w:trPr>
          <w:trHeight w:val="340"/>
        </w:trPr>
        <w:tc>
          <w:tcPr>
            <w:tcW w:w="4560" w:type="dxa"/>
            <w:tcBorders>
              <w:top w:val="nil"/>
              <w:left w:val="nil"/>
              <w:bottom w:val="nil"/>
              <w:right w:val="nil"/>
            </w:tcBorders>
            <w:shd w:val="clear" w:color="auto" w:fill="auto"/>
            <w:noWrap/>
            <w:vAlign w:val="center"/>
            <w:hideMark/>
          </w:tcPr>
          <w:p w14:paraId="2AA41DDE" w14:textId="77777777" w:rsidR="00F23D0D" w:rsidRPr="0024372F" w:rsidRDefault="00F23D0D" w:rsidP="00F23D0D">
            <w:pPr>
              <w:widowControl/>
              <w:jc w:val="left"/>
              <w:rPr>
                <w:rFonts w:asciiTheme="minorEastAsia" w:hAnsiTheme="minorEastAsia" w:cs="ＭＳ Ｐゴシック"/>
                <w:color w:val="000000"/>
                <w:kern w:val="0"/>
                <w:sz w:val="20"/>
                <w:szCs w:val="20"/>
              </w:rPr>
            </w:pPr>
            <w:r w:rsidRPr="0024372F">
              <w:rPr>
                <w:rFonts w:asciiTheme="minorEastAsia" w:hAnsiTheme="minorEastAsia" w:cs="ＭＳ Ｐゴシック" w:hint="eastAsia"/>
                <w:color w:val="000000"/>
                <w:kern w:val="0"/>
                <w:sz w:val="20"/>
                <w:szCs w:val="20"/>
              </w:rPr>
              <w:t>純利益率</w:t>
            </w:r>
          </w:p>
        </w:tc>
        <w:tc>
          <w:tcPr>
            <w:tcW w:w="1560" w:type="dxa"/>
            <w:tcBorders>
              <w:top w:val="nil"/>
              <w:left w:val="nil"/>
              <w:bottom w:val="nil"/>
              <w:right w:val="nil"/>
            </w:tcBorders>
            <w:shd w:val="clear" w:color="auto" w:fill="auto"/>
            <w:noWrap/>
            <w:vAlign w:val="center"/>
            <w:hideMark/>
          </w:tcPr>
          <w:p w14:paraId="751A92A8" w14:textId="77777777" w:rsidR="00F23D0D" w:rsidRPr="00F23D0D" w:rsidRDefault="00F23D0D" w:rsidP="00F23D0D">
            <w:pPr>
              <w:widowControl/>
              <w:jc w:val="right"/>
              <w:rPr>
                <w:rFonts w:ascii="游ゴシック" w:eastAsia="游ゴシック" w:hAnsi="游ゴシック" w:cs="ＭＳ Ｐゴシック"/>
                <w:color w:val="000000"/>
                <w:kern w:val="0"/>
                <w:sz w:val="20"/>
                <w:szCs w:val="20"/>
              </w:rPr>
            </w:pPr>
            <w:r w:rsidRPr="00F23D0D">
              <w:rPr>
                <w:rFonts w:ascii="游ゴシック" w:eastAsia="游ゴシック" w:hAnsi="游ゴシック" w:cs="ＭＳ Ｐゴシック" w:hint="eastAsia"/>
                <w:color w:val="000000"/>
                <w:kern w:val="0"/>
                <w:sz w:val="20"/>
                <w:szCs w:val="20"/>
              </w:rPr>
              <w:t>16.9%</w:t>
            </w:r>
          </w:p>
        </w:tc>
        <w:tc>
          <w:tcPr>
            <w:tcW w:w="1400" w:type="dxa"/>
            <w:tcBorders>
              <w:top w:val="nil"/>
              <w:left w:val="nil"/>
              <w:bottom w:val="nil"/>
              <w:right w:val="nil"/>
            </w:tcBorders>
            <w:shd w:val="clear" w:color="auto" w:fill="auto"/>
            <w:noWrap/>
            <w:vAlign w:val="center"/>
            <w:hideMark/>
          </w:tcPr>
          <w:p w14:paraId="17791C0A" w14:textId="77777777" w:rsidR="00F23D0D" w:rsidRPr="00F23D0D" w:rsidRDefault="00F23D0D" w:rsidP="00F23D0D">
            <w:pPr>
              <w:widowControl/>
              <w:jc w:val="right"/>
              <w:rPr>
                <w:rFonts w:ascii="游ゴシック" w:eastAsia="游ゴシック" w:hAnsi="游ゴシック" w:cs="ＭＳ Ｐゴシック"/>
                <w:color w:val="000000"/>
                <w:kern w:val="0"/>
                <w:sz w:val="20"/>
                <w:szCs w:val="20"/>
              </w:rPr>
            </w:pPr>
            <w:r w:rsidRPr="00F23D0D">
              <w:rPr>
                <w:rFonts w:ascii="游ゴシック" w:eastAsia="游ゴシック" w:hAnsi="游ゴシック" w:cs="ＭＳ Ｐゴシック" w:hint="eastAsia"/>
                <w:color w:val="000000"/>
                <w:kern w:val="0"/>
                <w:sz w:val="20"/>
                <w:szCs w:val="20"/>
              </w:rPr>
              <w:t>17.2%</w:t>
            </w:r>
          </w:p>
        </w:tc>
        <w:tc>
          <w:tcPr>
            <w:tcW w:w="1400" w:type="dxa"/>
            <w:tcBorders>
              <w:top w:val="nil"/>
              <w:left w:val="nil"/>
              <w:bottom w:val="nil"/>
              <w:right w:val="nil"/>
            </w:tcBorders>
            <w:shd w:val="clear" w:color="auto" w:fill="auto"/>
            <w:noWrap/>
            <w:vAlign w:val="center"/>
            <w:hideMark/>
          </w:tcPr>
          <w:p w14:paraId="1C35596B" w14:textId="77777777" w:rsidR="00F23D0D" w:rsidRPr="00F23D0D" w:rsidRDefault="00F23D0D" w:rsidP="00F23D0D">
            <w:pPr>
              <w:widowControl/>
              <w:jc w:val="right"/>
              <w:rPr>
                <w:rFonts w:ascii="游ゴシック" w:eastAsia="游ゴシック" w:hAnsi="游ゴシック" w:cs="ＭＳ Ｐゴシック"/>
                <w:color w:val="000000"/>
                <w:kern w:val="0"/>
                <w:sz w:val="20"/>
                <w:szCs w:val="20"/>
              </w:rPr>
            </w:pPr>
            <w:r w:rsidRPr="00F23D0D">
              <w:rPr>
                <w:rFonts w:ascii="游ゴシック" w:eastAsia="游ゴシック" w:hAnsi="游ゴシック" w:cs="ＭＳ Ｐゴシック" w:hint="eastAsia"/>
                <w:color w:val="000000"/>
                <w:kern w:val="0"/>
                <w:sz w:val="20"/>
                <w:szCs w:val="20"/>
              </w:rPr>
              <w:t>13.4%</w:t>
            </w:r>
          </w:p>
        </w:tc>
      </w:tr>
      <w:tr w:rsidR="00F23D0D" w:rsidRPr="00F23D0D" w14:paraId="79B3063D" w14:textId="77777777" w:rsidTr="00F23D0D">
        <w:trPr>
          <w:trHeight w:val="340"/>
        </w:trPr>
        <w:tc>
          <w:tcPr>
            <w:tcW w:w="4560" w:type="dxa"/>
            <w:tcBorders>
              <w:top w:val="nil"/>
              <w:left w:val="nil"/>
              <w:bottom w:val="nil"/>
              <w:right w:val="nil"/>
            </w:tcBorders>
            <w:shd w:val="clear" w:color="auto" w:fill="auto"/>
            <w:noWrap/>
            <w:vAlign w:val="center"/>
            <w:hideMark/>
          </w:tcPr>
          <w:p w14:paraId="27F0762B" w14:textId="77777777" w:rsidR="00F23D0D" w:rsidRPr="0024372F" w:rsidRDefault="00F23D0D" w:rsidP="00F23D0D">
            <w:pPr>
              <w:widowControl/>
              <w:jc w:val="left"/>
              <w:rPr>
                <w:rFonts w:asciiTheme="minorEastAsia" w:hAnsiTheme="minorEastAsia" w:cs="ＭＳ Ｐゴシック"/>
                <w:color w:val="000000"/>
                <w:kern w:val="0"/>
                <w:sz w:val="20"/>
                <w:szCs w:val="20"/>
              </w:rPr>
            </w:pPr>
            <w:r w:rsidRPr="0024372F">
              <w:rPr>
                <w:rFonts w:asciiTheme="minorEastAsia" w:hAnsiTheme="minorEastAsia" w:cs="ＭＳ Ｐゴシック" w:hint="eastAsia"/>
                <w:color w:val="000000"/>
                <w:kern w:val="0"/>
                <w:sz w:val="20"/>
                <w:szCs w:val="20"/>
              </w:rPr>
              <w:t>総資産回転率</w:t>
            </w:r>
          </w:p>
        </w:tc>
        <w:tc>
          <w:tcPr>
            <w:tcW w:w="1560" w:type="dxa"/>
            <w:tcBorders>
              <w:top w:val="nil"/>
              <w:left w:val="nil"/>
              <w:bottom w:val="nil"/>
              <w:right w:val="nil"/>
            </w:tcBorders>
            <w:shd w:val="clear" w:color="auto" w:fill="auto"/>
            <w:noWrap/>
            <w:vAlign w:val="center"/>
            <w:hideMark/>
          </w:tcPr>
          <w:p w14:paraId="4EF227BC" w14:textId="77777777" w:rsidR="00F23D0D" w:rsidRPr="00F23D0D" w:rsidRDefault="00F23D0D" w:rsidP="00F23D0D">
            <w:pPr>
              <w:widowControl/>
              <w:jc w:val="right"/>
              <w:rPr>
                <w:rFonts w:ascii="游ゴシック" w:eastAsia="游ゴシック" w:hAnsi="游ゴシック" w:cs="ＭＳ Ｐゴシック"/>
                <w:color w:val="000000"/>
                <w:kern w:val="0"/>
                <w:sz w:val="20"/>
                <w:szCs w:val="20"/>
              </w:rPr>
            </w:pPr>
            <w:r w:rsidRPr="00F23D0D">
              <w:rPr>
                <w:rFonts w:ascii="游ゴシック" w:eastAsia="游ゴシック" w:hAnsi="游ゴシック" w:cs="ＭＳ Ｐゴシック" w:hint="eastAsia"/>
                <w:color w:val="000000"/>
                <w:kern w:val="0"/>
                <w:sz w:val="20"/>
                <w:szCs w:val="20"/>
              </w:rPr>
              <w:t>52.6%</w:t>
            </w:r>
          </w:p>
        </w:tc>
        <w:tc>
          <w:tcPr>
            <w:tcW w:w="1400" w:type="dxa"/>
            <w:tcBorders>
              <w:top w:val="nil"/>
              <w:left w:val="nil"/>
              <w:bottom w:val="nil"/>
              <w:right w:val="nil"/>
            </w:tcBorders>
            <w:shd w:val="clear" w:color="auto" w:fill="auto"/>
            <w:noWrap/>
            <w:vAlign w:val="center"/>
            <w:hideMark/>
          </w:tcPr>
          <w:p w14:paraId="3AEB4884" w14:textId="77777777" w:rsidR="00F23D0D" w:rsidRPr="00F23D0D" w:rsidRDefault="00F23D0D" w:rsidP="00F23D0D">
            <w:pPr>
              <w:widowControl/>
              <w:jc w:val="right"/>
              <w:rPr>
                <w:rFonts w:ascii="游ゴシック" w:eastAsia="游ゴシック" w:hAnsi="游ゴシック" w:cs="ＭＳ Ｐゴシック"/>
                <w:color w:val="000000"/>
                <w:kern w:val="0"/>
                <w:sz w:val="20"/>
                <w:szCs w:val="20"/>
              </w:rPr>
            </w:pPr>
            <w:r w:rsidRPr="00F23D0D">
              <w:rPr>
                <w:rFonts w:ascii="游ゴシック" w:eastAsia="游ゴシック" w:hAnsi="游ゴシック" w:cs="ＭＳ Ｐゴシック" w:hint="eastAsia"/>
                <w:color w:val="000000"/>
                <w:kern w:val="0"/>
                <w:sz w:val="20"/>
                <w:szCs w:val="20"/>
              </w:rPr>
              <w:t>50.0%</w:t>
            </w:r>
          </w:p>
        </w:tc>
        <w:tc>
          <w:tcPr>
            <w:tcW w:w="1400" w:type="dxa"/>
            <w:tcBorders>
              <w:top w:val="nil"/>
              <w:left w:val="nil"/>
              <w:bottom w:val="nil"/>
              <w:right w:val="nil"/>
            </w:tcBorders>
            <w:shd w:val="clear" w:color="auto" w:fill="auto"/>
            <w:noWrap/>
            <w:vAlign w:val="center"/>
            <w:hideMark/>
          </w:tcPr>
          <w:p w14:paraId="6F49B509" w14:textId="77777777" w:rsidR="00F23D0D" w:rsidRPr="00F23D0D" w:rsidRDefault="00F23D0D" w:rsidP="00F23D0D">
            <w:pPr>
              <w:widowControl/>
              <w:jc w:val="right"/>
              <w:rPr>
                <w:rFonts w:ascii="游ゴシック" w:eastAsia="游ゴシック" w:hAnsi="游ゴシック" w:cs="ＭＳ Ｐゴシック"/>
                <w:color w:val="000000"/>
                <w:kern w:val="0"/>
                <w:sz w:val="20"/>
                <w:szCs w:val="20"/>
              </w:rPr>
            </w:pPr>
            <w:r w:rsidRPr="00F23D0D">
              <w:rPr>
                <w:rFonts w:ascii="游ゴシック" w:eastAsia="游ゴシック" w:hAnsi="游ゴシック" w:cs="ＭＳ Ｐゴシック" w:hint="eastAsia"/>
                <w:color w:val="000000"/>
                <w:kern w:val="0"/>
                <w:sz w:val="20"/>
                <w:szCs w:val="20"/>
              </w:rPr>
              <w:t>46.0%</w:t>
            </w:r>
          </w:p>
        </w:tc>
      </w:tr>
      <w:tr w:rsidR="00F23D0D" w:rsidRPr="00F23D0D" w14:paraId="611E6E02" w14:textId="77777777" w:rsidTr="00F23D0D">
        <w:trPr>
          <w:trHeight w:val="340"/>
        </w:trPr>
        <w:tc>
          <w:tcPr>
            <w:tcW w:w="4560" w:type="dxa"/>
            <w:tcBorders>
              <w:top w:val="nil"/>
              <w:left w:val="nil"/>
              <w:bottom w:val="single" w:sz="4" w:space="0" w:color="auto"/>
              <w:right w:val="nil"/>
            </w:tcBorders>
            <w:shd w:val="clear" w:color="auto" w:fill="auto"/>
            <w:noWrap/>
            <w:vAlign w:val="center"/>
            <w:hideMark/>
          </w:tcPr>
          <w:p w14:paraId="6403489F" w14:textId="77777777" w:rsidR="00465D2E" w:rsidRPr="0024372F" w:rsidRDefault="00F23D0D" w:rsidP="00F23D0D">
            <w:pPr>
              <w:widowControl/>
              <w:jc w:val="left"/>
              <w:rPr>
                <w:rFonts w:asciiTheme="minorEastAsia" w:hAnsiTheme="minorEastAsia" w:cs="ＭＳ Ｐゴシック"/>
                <w:color w:val="000000"/>
                <w:kern w:val="0"/>
                <w:sz w:val="20"/>
                <w:szCs w:val="20"/>
              </w:rPr>
            </w:pPr>
            <w:r w:rsidRPr="0024372F">
              <w:rPr>
                <w:rFonts w:asciiTheme="minorEastAsia" w:hAnsiTheme="minorEastAsia" w:cs="ＭＳ Ｐゴシック" w:hint="eastAsia"/>
                <w:color w:val="000000"/>
                <w:kern w:val="0"/>
                <w:sz w:val="20"/>
                <w:szCs w:val="20"/>
              </w:rPr>
              <w:t>財務レバレッジ</w:t>
            </w:r>
          </w:p>
          <w:p w14:paraId="6D05DC58" w14:textId="77777777" w:rsidR="00465D2E" w:rsidRPr="0024372F" w:rsidRDefault="00465D2E" w:rsidP="00F23D0D">
            <w:pPr>
              <w:widowControl/>
              <w:jc w:val="left"/>
              <w:rPr>
                <w:rFonts w:asciiTheme="minorEastAsia" w:hAnsiTheme="minorEastAsia" w:cs="ＭＳ Ｐゴシック"/>
                <w:color w:val="000000"/>
                <w:kern w:val="0"/>
                <w:sz w:val="20"/>
                <w:szCs w:val="20"/>
              </w:rPr>
            </w:pPr>
            <w:r w:rsidRPr="0024372F">
              <w:rPr>
                <w:rFonts w:asciiTheme="minorEastAsia" w:hAnsiTheme="minorEastAsia" w:cs="ＭＳ Ｐゴシック" w:hint="eastAsia"/>
                <w:color w:val="000000"/>
                <w:kern w:val="0"/>
                <w:sz w:val="20"/>
                <w:szCs w:val="20"/>
              </w:rPr>
              <w:t xml:space="preserve">　自己資本比率</w:t>
            </w:r>
          </w:p>
        </w:tc>
        <w:tc>
          <w:tcPr>
            <w:tcW w:w="1560" w:type="dxa"/>
            <w:tcBorders>
              <w:top w:val="nil"/>
              <w:left w:val="nil"/>
              <w:bottom w:val="single" w:sz="4" w:space="0" w:color="auto"/>
              <w:right w:val="nil"/>
            </w:tcBorders>
            <w:shd w:val="clear" w:color="auto" w:fill="auto"/>
            <w:noWrap/>
            <w:vAlign w:val="center"/>
            <w:hideMark/>
          </w:tcPr>
          <w:p w14:paraId="14E2FAFB" w14:textId="77777777" w:rsidR="00465D2E" w:rsidRDefault="00F23D0D" w:rsidP="00F23D0D">
            <w:pPr>
              <w:widowControl/>
              <w:jc w:val="right"/>
              <w:rPr>
                <w:rFonts w:ascii="游ゴシック" w:eastAsia="游ゴシック" w:hAnsi="游ゴシック" w:cs="ＭＳ Ｐゴシック"/>
                <w:color w:val="000000"/>
                <w:kern w:val="0"/>
                <w:sz w:val="20"/>
                <w:szCs w:val="20"/>
              </w:rPr>
            </w:pPr>
            <w:r w:rsidRPr="00F23D0D">
              <w:rPr>
                <w:rFonts w:ascii="游ゴシック" w:eastAsia="游ゴシック" w:hAnsi="游ゴシック" w:cs="ＭＳ Ｐゴシック" w:hint="eastAsia"/>
                <w:color w:val="000000"/>
                <w:kern w:val="0"/>
                <w:sz w:val="20"/>
                <w:szCs w:val="20"/>
              </w:rPr>
              <w:t>1.3</w:t>
            </w:r>
          </w:p>
          <w:p w14:paraId="62C32EF2" w14:textId="77777777" w:rsidR="00F23D0D" w:rsidRPr="00F23D0D" w:rsidRDefault="0021402D" w:rsidP="00F23D0D">
            <w:pPr>
              <w:widowControl/>
              <w:jc w:val="righ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color w:val="000000"/>
                <w:kern w:val="0"/>
                <w:sz w:val="20"/>
                <w:szCs w:val="20"/>
              </w:rPr>
              <w:t>79.3%</w:t>
            </w:r>
            <w:r w:rsidR="00F23D0D" w:rsidRPr="00F23D0D">
              <w:rPr>
                <w:rFonts w:ascii="游ゴシック" w:eastAsia="游ゴシック" w:hAnsi="游ゴシック" w:cs="ＭＳ Ｐゴシック" w:hint="eastAsia"/>
                <w:color w:val="000000"/>
                <w:kern w:val="0"/>
                <w:sz w:val="20"/>
                <w:szCs w:val="20"/>
              </w:rPr>
              <w:t xml:space="preserve"> </w:t>
            </w:r>
          </w:p>
        </w:tc>
        <w:tc>
          <w:tcPr>
            <w:tcW w:w="1400" w:type="dxa"/>
            <w:tcBorders>
              <w:top w:val="nil"/>
              <w:left w:val="nil"/>
              <w:bottom w:val="single" w:sz="4" w:space="0" w:color="auto"/>
              <w:right w:val="nil"/>
            </w:tcBorders>
            <w:shd w:val="clear" w:color="auto" w:fill="auto"/>
            <w:noWrap/>
            <w:vAlign w:val="center"/>
            <w:hideMark/>
          </w:tcPr>
          <w:p w14:paraId="74ECE9DB" w14:textId="77777777" w:rsidR="00465D2E" w:rsidRDefault="00F23D0D" w:rsidP="00F23D0D">
            <w:pPr>
              <w:widowControl/>
              <w:jc w:val="right"/>
              <w:rPr>
                <w:rFonts w:ascii="游ゴシック" w:eastAsia="游ゴシック" w:hAnsi="游ゴシック" w:cs="ＭＳ Ｐゴシック"/>
                <w:color w:val="000000"/>
                <w:kern w:val="0"/>
                <w:sz w:val="20"/>
                <w:szCs w:val="20"/>
              </w:rPr>
            </w:pPr>
            <w:r w:rsidRPr="00F23D0D">
              <w:rPr>
                <w:rFonts w:ascii="游ゴシック" w:eastAsia="游ゴシック" w:hAnsi="游ゴシック" w:cs="ＭＳ Ｐゴシック" w:hint="eastAsia"/>
                <w:color w:val="000000"/>
                <w:kern w:val="0"/>
                <w:sz w:val="20"/>
                <w:szCs w:val="20"/>
              </w:rPr>
              <w:t>1.3</w:t>
            </w:r>
          </w:p>
          <w:p w14:paraId="3FD45EA2" w14:textId="77777777" w:rsidR="00F23D0D" w:rsidRPr="00F23D0D" w:rsidRDefault="0021402D" w:rsidP="00F23D0D">
            <w:pPr>
              <w:widowControl/>
              <w:jc w:val="righ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color w:val="000000"/>
                <w:kern w:val="0"/>
                <w:sz w:val="20"/>
                <w:szCs w:val="20"/>
              </w:rPr>
              <w:t>76.4%</w:t>
            </w:r>
            <w:r w:rsidR="00F23D0D" w:rsidRPr="00F23D0D">
              <w:rPr>
                <w:rFonts w:ascii="游ゴシック" w:eastAsia="游ゴシック" w:hAnsi="游ゴシック" w:cs="ＭＳ Ｐゴシック" w:hint="eastAsia"/>
                <w:color w:val="000000"/>
                <w:kern w:val="0"/>
                <w:sz w:val="20"/>
                <w:szCs w:val="20"/>
              </w:rPr>
              <w:t xml:space="preserve"> </w:t>
            </w:r>
          </w:p>
        </w:tc>
        <w:tc>
          <w:tcPr>
            <w:tcW w:w="1400" w:type="dxa"/>
            <w:tcBorders>
              <w:top w:val="nil"/>
              <w:left w:val="nil"/>
              <w:bottom w:val="single" w:sz="4" w:space="0" w:color="auto"/>
              <w:right w:val="nil"/>
            </w:tcBorders>
            <w:shd w:val="clear" w:color="auto" w:fill="auto"/>
            <w:noWrap/>
            <w:vAlign w:val="center"/>
            <w:hideMark/>
          </w:tcPr>
          <w:p w14:paraId="513F523B" w14:textId="77777777" w:rsidR="00465D2E" w:rsidRDefault="00F23D0D" w:rsidP="00F23D0D">
            <w:pPr>
              <w:widowControl/>
              <w:jc w:val="right"/>
              <w:rPr>
                <w:rFonts w:ascii="游ゴシック" w:eastAsia="游ゴシック" w:hAnsi="游ゴシック" w:cs="ＭＳ Ｐゴシック"/>
                <w:color w:val="000000"/>
                <w:kern w:val="0"/>
                <w:sz w:val="20"/>
                <w:szCs w:val="20"/>
              </w:rPr>
            </w:pPr>
            <w:r w:rsidRPr="00F23D0D">
              <w:rPr>
                <w:rFonts w:ascii="游ゴシック" w:eastAsia="游ゴシック" w:hAnsi="游ゴシック" w:cs="ＭＳ Ｐゴシック" w:hint="eastAsia"/>
                <w:color w:val="000000"/>
                <w:kern w:val="0"/>
                <w:sz w:val="20"/>
                <w:szCs w:val="20"/>
              </w:rPr>
              <w:t>1.2</w:t>
            </w:r>
          </w:p>
          <w:p w14:paraId="0542720F" w14:textId="77777777" w:rsidR="00F23D0D" w:rsidRPr="00F23D0D" w:rsidRDefault="00465D2E" w:rsidP="00F23D0D">
            <w:pPr>
              <w:widowControl/>
              <w:jc w:val="righ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color w:val="000000"/>
                <w:kern w:val="0"/>
                <w:sz w:val="20"/>
                <w:szCs w:val="20"/>
              </w:rPr>
              <w:t>81.2%</w:t>
            </w:r>
            <w:r w:rsidR="00F23D0D" w:rsidRPr="00F23D0D">
              <w:rPr>
                <w:rFonts w:ascii="游ゴシック" w:eastAsia="游ゴシック" w:hAnsi="游ゴシック" w:cs="ＭＳ Ｐゴシック" w:hint="eastAsia"/>
                <w:color w:val="000000"/>
                <w:kern w:val="0"/>
                <w:sz w:val="20"/>
                <w:szCs w:val="20"/>
              </w:rPr>
              <w:t xml:space="preserve"> </w:t>
            </w:r>
          </w:p>
        </w:tc>
      </w:tr>
    </w:tbl>
    <w:p w14:paraId="676F2448" w14:textId="50C5E52C" w:rsidR="00F23D0D" w:rsidRPr="0012638A" w:rsidRDefault="00F23D0D" w:rsidP="00F23D0D">
      <w:r>
        <w:rPr>
          <w:rFonts w:hint="eastAsia"/>
        </w:rPr>
        <w:t>出典：オリエンタルランド</w:t>
      </w:r>
      <w:r w:rsidR="00AF3BD8">
        <w:rPr>
          <w:rFonts w:hint="eastAsia"/>
        </w:rPr>
        <w:t>社「有価証券報告書」</w:t>
      </w:r>
      <w:r>
        <w:rPr>
          <w:rFonts w:hint="eastAsia"/>
        </w:rPr>
        <w:t>より筆者作成。</w:t>
      </w:r>
    </w:p>
    <w:p w14:paraId="2DCFCB07" w14:textId="77777777" w:rsidR="007E008C" w:rsidRDefault="007E008C" w:rsidP="007E008C">
      <w:pPr>
        <w:rPr>
          <w:b/>
          <w:bCs/>
        </w:rPr>
      </w:pPr>
    </w:p>
    <w:p w14:paraId="17ACA276" w14:textId="06C60A16" w:rsidR="007E008C" w:rsidRDefault="00C01BB9" w:rsidP="007E008C">
      <w:r>
        <w:rPr>
          <w:b/>
          <w:bCs/>
        </w:rPr>
        <w:lastRenderedPageBreak/>
        <w:t>2</w:t>
      </w:r>
      <w:r w:rsidR="007E008C" w:rsidRPr="0012638A">
        <w:rPr>
          <w:rFonts w:hint="eastAsia"/>
          <w:b/>
          <w:bCs/>
        </w:rPr>
        <w:t>−</w:t>
      </w:r>
      <w:r>
        <w:rPr>
          <w:rFonts w:hint="eastAsia"/>
          <w:b/>
          <w:bCs/>
        </w:rPr>
        <w:t>3</w:t>
      </w:r>
      <w:r w:rsidR="007E008C">
        <w:rPr>
          <w:rFonts w:hint="eastAsia"/>
          <w:b/>
          <w:bCs/>
        </w:rPr>
        <w:t>−</w:t>
      </w:r>
      <w:r>
        <w:rPr>
          <w:rFonts w:hint="eastAsia"/>
          <w:b/>
          <w:bCs/>
        </w:rPr>
        <w:t>2</w:t>
      </w:r>
      <w:r w:rsidR="007E008C" w:rsidRPr="0012638A">
        <w:rPr>
          <w:rFonts w:hint="eastAsia"/>
          <w:b/>
          <w:bCs/>
        </w:rPr>
        <w:t>．</w:t>
      </w:r>
      <w:r w:rsidR="007E008C">
        <w:rPr>
          <w:rFonts w:hint="eastAsia"/>
          <w:b/>
          <w:bCs/>
        </w:rPr>
        <w:t>安全性分析</w:t>
      </w:r>
    </w:p>
    <w:p w14:paraId="54E15751" w14:textId="77777777" w:rsidR="007E008C" w:rsidRDefault="007E008C" w:rsidP="00CC554F">
      <w:r>
        <w:rPr>
          <w:rFonts w:hint="eastAsia"/>
        </w:rPr>
        <w:t xml:space="preserve">　</w:t>
      </w:r>
      <w:r w:rsidR="00CC484E">
        <w:rPr>
          <w:rFonts w:hint="eastAsia"/>
        </w:rPr>
        <w:t>前項では</w:t>
      </w:r>
      <w:r>
        <w:rPr>
          <w:rFonts w:hint="eastAsia"/>
        </w:rPr>
        <w:t>、</w:t>
      </w:r>
      <w:r>
        <w:t>ROE</w:t>
      </w:r>
      <w:r>
        <w:rPr>
          <w:rFonts w:hint="eastAsia"/>
        </w:rPr>
        <w:t>の観点より安全性の示す指標として、財務レバレッジや自己資本比率を確認してきた。</w:t>
      </w:r>
      <w:r w:rsidR="0028600C">
        <w:rPr>
          <w:rFonts w:hint="eastAsia"/>
        </w:rPr>
        <w:t>本項では、さらに詳細に財務上の安全性を分析するため、上記の指標に付け加え、新たに以下の４つの指標を取り上げて考察する。</w:t>
      </w:r>
    </w:p>
    <w:p w14:paraId="63DF9F15" w14:textId="77777777" w:rsidR="0028600C" w:rsidRDefault="0028600C" w:rsidP="00CC554F">
      <w:r>
        <w:rPr>
          <w:rFonts w:hint="eastAsia"/>
        </w:rPr>
        <w:t xml:space="preserve">　　(</w:t>
      </w:r>
      <w:r>
        <w:t>a)</w:t>
      </w:r>
      <w:r>
        <w:rPr>
          <w:rFonts w:hint="eastAsia"/>
        </w:rPr>
        <w:t>．流動比率</w:t>
      </w:r>
    </w:p>
    <w:p w14:paraId="14E6CE9C" w14:textId="77777777" w:rsidR="0028600C" w:rsidRPr="007E008C" w:rsidRDefault="0028600C" w:rsidP="00CC554F">
      <w:r>
        <w:rPr>
          <w:rFonts w:hint="eastAsia"/>
        </w:rPr>
        <w:t xml:space="preserve"> </w:t>
      </w:r>
      <w:r>
        <w:t xml:space="preserve">   (b)</w:t>
      </w:r>
      <w:r>
        <w:rPr>
          <w:rFonts w:hint="eastAsia"/>
        </w:rPr>
        <w:t>．固定比率</w:t>
      </w:r>
    </w:p>
    <w:p w14:paraId="7590F250" w14:textId="77777777" w:rsidR="003544E3" w:rsidRDefault="0028600C" w:rsidP="00CC554F">
      <w:r>
        <w:rPr>
          <w:rFonts w:hint="eastAsia"/>
        </w:rPr>
        <w:t xml:space="preserve"> </w:t>
      </w:r>
      <w:r>
        <w:t xml:space="preserve">   (c)</w:t>
      </w:r>
      <w:r>
        <w:rPr>
          <w:rFonts w:hint="eastAsia"/>
        </w:rPr>
        <w:t>．固定長期適合率</w:t>
      </w:r>
    </w:p>
    <w:p w14:paraId="54ACD761" w14:textId="77777777" w:rsidR="00B33C12" w:rsidRDefault="0028600C" w:rsidP="00CC554F">
      <w:r>
        <w:rPr>
          <w:rFonts w:hint="eastAsia"/>
        </w:rPr>
        <w:t xml:space="preserve"> </w:t>
      </w:r>
      <w:r>
        <w:t xml:space="preserve">   (d)</w:t>
      </w:r>
      <w:r>
        <w:rPr>
          <w:rFonts w:hint="eastAsia"/>
        </w:rPr>
        <w:t>．</w:t>
      </w:r>
      <w:r w:rsidR="00B33C12">
        <w:rPr>
          <w:rFonts w:hint="eastAsia"/>
        </w:rPr>
        <w:t>ネット</w:t>
      </w:r>
      <w:r w:rsidR="00B33C12">
        <w:t>D/</w:t>
      </w:r>
      <w:r w:rsidR="00B33C12">
        <w:rPr>
          <w:rFonts w:hint="eastAsia"/>
        </w:rPr>
        <w:t>Eレシオ</w:t>
      </w:r>
    </w:p>
    <w:p w14:paraId="05CF88DF" w14:textId="77777777" w:rsidR="0061465B" w:rsidRDefault="00B33C12" w:rsidP="006D42E6">
      <w:r>
        <w:rPr>
          <w:rFonts w:hint="eastAsia"/>
        </w:rPr>
        <w:t xml:space="preserve">　表６は、財務上の安全性を示す指標をまとめたものである。</w:t>
      </w:r>
      <w:r w:rsidR="0061465B">
        <w:rPr>
          <w:rFonts w:hint="eastAsia"/>
        </w:rPr>
        <w:t>流動比率（流動資産÷流動負債）は、</w:t>
      </w:r>
      <w:r w:rsidR="0061465B">
        <w:t>1年以内の支払債務と現金化可能資産の</w:t>
      </w:r>
      <w:r>
        <w:rPr>
          <w:rFonts w:hint="eastAsia"/>
        </w:rPr>
        <w:t>比率を示しており</w:t>
      </w:r>
      <w:r w:rsidR="0061465B">
        <w:t>、100％以上</w:t>
      </w:r>
      <w:r>
        <w:rPr>
          <w:rFonts w:hint="eastAsia"/>
        </w:rPr>
        <w:t>なら</w:t>
      </w:r>
      <w:r w:rsidR="0061465B">
        <w:t>ば短期的な</w:t>
      </w:r>
      <w:r>
        <w:rPr>
          <w:rFonts w:hint="eastAsia"/>
        </w:rPr>
        <w:t>支出に対応できると考えられている</w:t>
      </w:r>
      <w:r w:rsidR="0061465B">
        <w:t>。</w:t>
      </w:r>
      <w:r>
        <w:rPr>
          <w:rFonts w:hint="eastAsia"/>
        </w:rPr>
        <w:t>2020年度決算における</w:t>
      </w:r>
      <w:r w:rsidR="0061465B">
        <w:rPr>
          <w:rFonts w:hint="eastAsia"/>
        </w:rPr>
        <w:t>オ</w:t>
      </w:r>
      <w:r w:rsidR="0061465B">
        <w:t>リエンタルランドの流動比率は3</w:t>
      </w:r>
      <w:r>
        <w:rPr>
          <w:rFonts w:hint="eastAsia"/>
        </w:rPr>
        <w:t>15</w:t>
      </w:r>
      <w:r w:rsidR="0061465B">
        <w:t>％で</w:t>
      </w:r>
      <w:r>
        <w:rPr>
          <w:rFonts w:hint="eastAsia"/>
        </w:rPr>
        <w:t>、</w:t>
      </w:r>
      <w:r w:rsidR="0061465B">
        <w:t>短期的な支払予定額の約3倍の流動資産を</w:t>
      </w:r>
      <w:r>
        <w:rPr>
          <w:rFonts w:hint="eastAsia"/>
        </w:rPr>
        <w:t>保有している状態である。</w:t>
      </w:r>
    </w:p>
    <w:p w14:paraId="05C28452" w14:textId="77777777" w:rsidR="0061465B" w:rsidRDefault="00B33C12" w:rsidP="006D42E6">
      <w:r>
        <w:rPr>
          <w:rFonts w:hint="eastAsia"/>
        </w:rPr>
        <w:t xml:space="preserve">　次に、</w:t>
      </w:r>
      <w:r w:rsidR="0061465B">
        <w:rPr>
          <w:rFonts w:hint="eastAsia"/>
        </w:rPr>
        <w:t>固定比率（固定資産÷自己資本）は、</w:t>
      </w:r>
      <w:r w:rsidR="001E0183">
        <w:rPr>
          <w:rFonts w:hint="eastAsia"/>
        </w:rPr>
        <w:t>固定資産への投資額と自己資本を比較した指標であり、固定資産のうち</w:t>
      </w:r>
      <w:r w:rsidR="0061465B">
        <w:rPr>
          <w:rFonts w:hint="eastAsia"/>
        </w:rPr>
        <w:t>返済義務のない自己資本で</w:t>
      </w:r>
      <w:r w:rsidR="001E0183">
        <w:rPr>
          <w:rFonts w:hint="eastAsia"/>
        </w:rPr>
        <w:t>どの程度賄えているかを示している</w:t>
      </w:r>
      <w:r w:rsidR="0061465B">
        <w:rPr>
          <w:rFonts w:hint="eastAsia"/>
        </w:rPr>
        <w:t>。</w:t>
      </w:r>
      <w:r w:rsidR="0061465B">
        <w:t>100％を下回っていれば安全な水準と言われ</w:t>
      </w:r>
      <w:r w:rsidR="001E0183">
        <w:rPr>
          <w:rFonts w:hint="eastAsia"/>
        </w:rPr>
        <w:t>、</w:t>
      </w:r>
      <w:r w:rsidR="0061465B">
        <w:t>固定比率は約</w:t>
      </w:r>
      <w:r w:rsidR="001E0183">
        <w:rPr>
          <w:rFonts w:hint="eastAsia"/>
        </w:rPr>
        <w:t>85</w:t>
      </w:r>
      <w:r w:rsidR="0061465B">
        <w:t>％</w:t>
      </w:r>
      <w:r w:rsidR="001E0183">
        <w:rPr>
          <w:rFonts w:hint="eastAsia"/>
        </w:rPr>
        <w:t>である</w:t>
      </w:r>
      <w:r w:rsidR="0061465B">
        <w:t>。</w:t>
      </w:r>
      <w:r w:rsidR="001E0183">
        <w:rPr>
          <w:rFonts w:hint="eastAsia"/>
        </w:rPr>
        <w:t>新規アトラクションへの設備投資として、2020年度は約1400億円支出したことも影響し、前年度と比較して、固定比率は</w:t>
      </w:r>
      <w:r w:rsidR="001E0183">
        <w:t>8.7</w:t>
      </w:r>
      <w:r w:rsidR="001E0183">
        <w:rPr>
          <w:rFonts w:hint="eastAsia"/>
        </w:rPr>
        <w:t>ポイント増加している。</w:t>
      </w:r>
    </w:p>
    <w:p w14:paraId="125ADED6" w14:textId="77777777" w:rsidR="001E0183" w:rsidRDefault="008B62B4" w:rsidP="006D42E6">
      <w:r>
        <w:rPr>
          <w:rFonts w:hint="eastAsia"/>
        </w:rPr>
        <w:t xml:space="preserve">　また、固定長期適合率は、固定資産を固定負債と自己資本の合計額で除したものであり、長期的な支払能力を示す指標である。</w:t>
      </w:r>
      <w:r w:rsidR="007B451E">
        <w:rPr>
          <w:rFonts w:hint="eastAsia"/>
        </w:rPr>
        <w:t>固定比率と同様に、</w:t>
      </w:r>
      <w:r w:rsidR="007B451E">
        <w:t>100%</w:t>
      </w:r>
      <w:r w:rsidR="007B451E">
        <w:rPr>
          <w:rFonts w:hint="eastAsia"/>
        </w:rPr>
        <w:t>を下回っていれば長期的な支払も安全な水準と言われおり、その固定長期適合率は</w:t>
      </w:r>
      <w:r w:rsidR="007B451E">
        <w:t>76.2%</w:t>
      </w:r>
      <w:r w:rsidR="007B451E">
        <w:rPr>
          <w:rFonts w:hint="eastAsia"/>
        </w:rPr>
        <w:t>である。固定長期適合率も</w:t>
      </w:r>
      <w:r w:rsidR="003075B8">
        <w:rPr>
          <w:rFonts w:hint="eastAsia"/>
        </w:rPr>
        <w:t>また</w:t>
      </w:r>
      <w:r w:rsidR="007B451E">
        <w:rPr>
          <w:rFonts w:hint="eastAsia"/>
        </w:rPr>
        <w:t>、設備投資の影響により、前年比で</w:t>
      </w:r>
      <w:r w:rsidR="007B451E">
        <w:t>8.2</w:t>
      </w:r>
      <w:r w:rsidR="007B451E">
        <w:rPr>
          <w:rFonts w:hint="eastAsia"/>
        </w:rPr>
        <w:t>ポイント増加している。</w:t>
      </w:r>
    </w:p>
    <w:p w14:paraId="43236F30" w14:textId="77777777" w:rsidR="000D6D5E" w:rsidRDefault="007B451E" w:rsidP="006D42E6">
      <w:r>
        <w:rPr>
          <w:rFonts w:hint="eastAsia"/>
        </w:rPr>
        <w:t xml:space="preserve">　最後に、ネット</w:t>
      </w:r>
      <w:r>
        <w:t>D/E</w:t>
      </w:r>
      <w:r>
        <w:rPr>
          <w:rFonts w:hint="eastAsia"/>
        </w:rPr>
        <w:t>レシオ（</w:t>
      </w:r>
      <w:r>
        <w:t>Net Debt Equity Ratio</w:t>
      </w:r>
      <w:r>
        <w:rPr>
          <w:rFonts w:hint="eastAsia"/>
        </w:rPr>
        <w:t>）は有利子負債から現金預金を差し引</w:t>
      </w:r>
      <w:r w:rsidR="00A60B87">
        <w:rPr>
          <w:rFonts w:hint="eastAsia"/>
        </w:rPr>
        <w:t>いて、それを</w:t>
      </w:r>
      <w:r>
        <w:rPr>
          <w:rFonts w:hint="eastAsia"/>
        </w:rPr>
        <w:t>自己資本で除した</w:t>
      </w:r>
      <w:r w:rsidR="00A60B87">
        <w:rPr>
          <w:rFonts w:hint="eastAsia"/>
        </w:rPr>
        <w:t>指標である。ネット</w:t>
      </w:r>
      <w:r w:rsidR="00A60B87">
        <w:t>D/E</w:t>
      </w:r>
      <w:r w:rsidR="00A60B87">
        <w:rPr>
          <w:rFonts w:hint="eastAsia"/>
        </w:rPr>
        <w:t>レシオは、</w:t>
      </w:r>
      <w:r w:rsidR="00FB3545">
        <w:rPr>
          <w:rFonts w:hint="eastAsia"/>
        </w:rPr>
        <w:t>負債を厳密に定義し、純負債と自己資本の関係を表しており、一般的には100％を下回っていることが望ましいとされている。</w:t>
      </w:r>
    </w:p>
    <w:p w14:paraId="416D6E29" w14:textId="550EEAAF" w:rsidR="00FB3545" w:rsidRDefault="00FB3545" w:rsidP="000D6D5E">
      <w:pPr>
        <w:ind w:firstLineChars="100" w:firstLine="210"/>
      </w:pPr>
      <w:r>
        <w:rPr>
          <w:rFonts w:hint="eastAsia"/>
        </w:rPr>
        <w:t>ここで驚くべきことに、</w:t>
      </w:r>
      <w:r w:rsidR="00911633">
        <w:rPr>
          <w:rFonts w:hint="eastAsia"/>
        </w:rPr>
        <w:t>O</w:t>
      </w:r>
      <w:r w:rsidR="00911633">
        <w:t>LC</w:t>
      </w:r>
      <w:r>
        <w:rPr>
          <w:rFonts w:hint="eastAsia"/>
        </w:rPr>
        <w:t>のネット</w:t>
      </w:r>
      <w:r>
        <w:t>D</w:t>
      </w:r>
      <w:r>
        <w:rPr>
          <w:rFonts w:hint="eastAsia"/>
        </w:rPr>
        <w:t>/</w:t>
      </w:r>
      <w:r>
        <w:t>E</w:t>
      </w:r>
      <w:r>
        <w:rPr>
          <w:rFonts w:hint="eastAsia"/>
        </w:rPr>
        <w:t>レシオは</w:t>
      </w:r>
      <w:r w:rsidR="000D6D5E">
        <w:rPr>
          <w:rFonts w:hint="eastAsia"/>
        </w:rPr>
        <w:t>、前年比で約10ポイント悪化しているが、</w:t>
      </w:r>
      <w:r>
        <w:t>-21.2%</w:t>
      </w:r>
      <w:r>
        <w:rPr>
          <w:rFonts w:hint="eastAsia"/>
        </w:rPr>
        <w:t>と</w:t>
      </w:r>
      <w:r w:rsidR="000D6D5E">
        <w:rPr>
          <w:rFonts w:hint="eastAsia"/>
        </w:rPr>
        <w:t>負</w:t>
      </w:r>
      <w:r>
        <w:rPr>
          <w:rFonts w:hint="eastAsia"/>
        </w:rPr>
        <w:t>の数値を記録している。</w:t>
      </w:r>
      <w:r w:rsidR="000D6D5E">
        <w:rPr>
          <w:rFonts w:hint="eastAsia"/>
        </w:rPr>
        <w:t>通常、ネット</w:t>
      </w:r>
      <w:r w:rsidR="000D6D5E">
        <w:t>D</w:t>
      </w:r>
      <w:r w:rsidR="000D6D5E">
        <w:rPr>
          <w:rFonts w:hint="eastAsia"/>
        </w:rPr>
        <w:t>/</w:t>
      </w:r>
      <w:r w:rsidR="000D6D5E">
        <w:t>E</w:t>
      </w:r>
      <w:r w:rsidR="000D6D5E">
        <w:rPr>
          <w:rFonts w:hint="eastAsia"/>
        </w:rPr>
        <w:t>レシオは、純負債を自己資本で賄えているかどうかを示す指標であり、よほどの巨額のキャッシュフローがない限り、負の数値をとることは稀である。</w:t>
      </w:r>
      <w:r w:rsidR="00911633">
        <w:rPr>
          <w:rFonts w:hint="eastAsia"/>
        </w:rPr>
        <w:t>O</w:t>
      </w:r>
      <w:r w:rsidR="00911633">
        <w:t>LC</w:t>
      </w:r>
      <w:r w:rsidR="00EB201A">
        <w:rPr>
          <w:rFonts w:hint="eastAsia"/>
        </w:rPr>
        <w:t>の場合、有利子負債はすべて現預金で相殺可能であり、かつ</w:t>
      </w:r>
      <w:r w:rsidR="000D6D5E">
        <w:rPr>
          <w:rFonts w:hint="eastAsia"/>
        </w:rPr>
        <w:t>返済義務のない自己資本に加え、</w:t>
      </w:r>
      <w:r w:rsidR="00EB201A">
        <w:rPr>
          <w:rFonts w:hint="eastAsia"/>
        </w:rPr>
        <w:t>金額的には自己</w:t>
      </w:r>
      <w:r w:rsidR="00C74F0E">
        <w:rPr>
          <w:rFonts w:hint="eastAsia"/>
        </w:rPr>
        <w:t>資本の</w:t>
      </w:r>
      <w:r w:rsidR="00EB201A">
        <w:t>20%</w:t>
      </w:r>
      <w:r w:rsidR="00EB201A">
        <w:rPr>
          <w:rFonts w:hint="eastAsia"/>
        </w:rPr>
        <w:t>相当を現預金で保有し</w:t>
      </w:r>
      <w:r w:rsidR="005A7EA0">
        <w:rPr>
          <w:rFonts w:hint="eastAsia"/>
        </w:rPr>
        <w:t>た</w:t>
      </w:r>
      <w:r w:rsidR="00EB201A">
        <w:rPr>
          <w:rFonts w:hint="eastAsia"/>
        </w:rPr>
        <w:t>状態である</w:t>
      </w:r>
      <w:r w:rsidR="005A7EA0">
        <w:rPr>
          <w:rFonts w:hint="eastAsia"/>
        </w:rPr>
        <w:t>ことが分か</w:t>
      </w:r>
      <w:r w:rsidR="00A05E52">
        <w:rPr>
          <w:rFonts w:hint="eastAsia"/>
        </w:rPr>
        <w:t>る</w:t>
      </w:r>
      <w:r w:rsidR="00EB201A">
        <w:rPr>
          <w:rFonts w:hint="eastAsia"/>
        </w:rPr>
        <w:t>。</w:t>
      </w:r>
    </w:p>
    <w:p w14:paraId="761EA0B1" w14:textId="238B055C" w:rsidR="00911633" w:rsidRDefault="00911633" w:rsidP="006D42E6"/>
    <w:p w14:paraId="275968E0" w14:textId="2C192AAC" w:rsidR="00FD4310" w:rsidRDefault="00FD4310" w:rsidP="006D42E6"/>
    <w:p w14:paraId="5C86E565" w14:textId="77777777" w:rsidR="00FD4310" w:rsidRDefault="00FD4310" w:rsidP="006D42E6">
      <w:pPr>
        <w:rPr>
          <w:rFonts w:hint="eastAsia"/>
        </w:rPr>
      </w:pPr>
    </w:p>
    <w:p w14:paraId="2CF176AB" w14:textId="7B6E87D1" w:rsidR="00911633" w:rsidRDefault="0024372F" w:rsidP="006D42E6">
      <w:r>
        <w:rPr>
          <w:rFonts w:hint="eastAsia"/>
        </w:rPr>
        <w:t>表６　財務諸表の安全性分析</w:t>
      </w:r>
      <w:r w:rsidR="001B11F1">
        <w:rPr>
          <w:rFonts w:hint="eastAsia"/>
        </w:rPr>
        <w:t>（年次）</w:t>
      </w:r>
    </w:p>
    <w:tbl>
      <w:tblPr>
        <w:tblW w:w="0" w:type="auto"/>
        <w:tblInd w:w="-30" w:type="dxa"/>
        <w:tblLayout w:type="fixed"/>
        <w:tblCellMar>
          <w:left w:w="99" w:type="dxa"/>
          <w:right w:w="99" w:type="dxa"/>
        </w:tblCellMar>
        <w:tblLook w:val="0000" w:firstRow="0" w:lastRow="0" w:firstColumn="0" w:lastColumn="0" w:noHBand="0" w:noVBand="0"/>
      </w:tblPr>
      <w:tblGrid>
        <w:gridCol w:w="4195"/>
        <w:gridCol w:w="1435"/>
        <w:gridCol w:w="1294"/>
        <w:gridCol w:w="1294"/>
      </w:tblGrid>
      <w:tr w:rsidR="0024372F" w14:paraId="1B4DD728" w14:textId="77777777" w:rsidTr="0024372F">
        <w:trPr>
          <w:trHeight w:val="319"/>
        </w:trPr>
        <w:tc>
          <w:tcPr>
            <w:tcW w:w="4195" w:type="dxa"/>
            <w:tcBorders>
              <w:top w:val="single" w:sz="4" w:space="0" w:color="auto"/>
              <w:left w:val="nil"/>
              <w:bottom w:val="single" w:sz="4" w:space="0" w:color="auto"/>
              <w:right w:val="nil"/>
            </w:tcBorders>
          </w:tcPr>
          <w:p w14:paraId="709D0D07" w14:textId="08F04A87" w:rsidR="0024372F" w:rsidRDefault="0024372F" w:rsidP="0024372F">
            <w:pPr>
              <w:autoSpaceDE w:val="0"/>
              <w:autoSpaceDN w:val="0"/>
              <w:adjustRightInd w:val="0"/>
              <w:jc w:val="left"/>
              <w:rPr>
                <w:rFonts w:ascii="Arial" w:hAnsi="Arial" w:cs="Arial"/>
                <w:b/>
                <w:bCs/>
                <w:color w:val="000000"/>
                <w:kern w:val="0"/>
                <w:sz w:val="20"/>
                <w:szCs w:val="20"/>
              </w:rPr>
            </w:pPr>
            <w:r>
              <w:rPr>
                <w:rFonts w:ascii="Arial" w:hAnsi="Arial" w:cs="Arial"/>
                <w:b/>
                <w:bCs/>
                <w:color w:val="000000"/>
                <w:kern w:val="0"/>
                <w:sz w:val="20"/>
                <w:szCs w:val="20"/>
              </w:rPr>
              <w:t>安全性</w:t>
            </w:r>
            <w:r>
              <w:rPr>
                <w:rFonts w:ascii="Arial" w:hAnsi="Arial" w:cs="Arial" w:hint="eastAsia"/>
                <w:b/>
                <w:bCs/>
                <w:color w:val="000000"/>
                <w:kern w:val="0"/>
                <w:sz w:val="20"/>
                <w:szCs w:val="20"/>
              </w:rPr>
              <w:t>分析</w:t>
            </w:r>
          </w:p>
        </w:tc>
        <w:tc>
          <w:tcPr>
            <w:tcW w:w="1435" w:type="dxa"/>
            <w:tcBorders>
              <w:top w:val="single" w:sz="4" w:space="0" w:color="auto"/>
              <w:left w:val="nil"/>
              <w:bottom w:val="single" w:sz="4" w:space="0" w:color="auto"/>
              <w:right w:val="nil"/>
            </w:tcBorders>
            <w:vAlign w:val="center"/>
          </w:tcPr>
          <w:p w14:paraId="5409C6DE" w14:textId="438EE51B" w:rsidR="0024372F" w:rsidRPr="00C74F0E" w:rsidRDefault="0024372F" w:rsidP="0024372F">
            <w:pPr>
              <w:autoSpaceDE w:val="0"/>
              <w:autoSpaceDN w:val="0"/>
              <w:adjustRightInd w:val="0"/>
              <w:jc w:val="center"/>
              <w:rPr>
                <w:rFonts w:ascii="Century" w:hAnsi="Century" w:cs="Arial"/>
                <w:color w:val="000000"/>
                <w:kern w:val="0"/>
                <w:sz w:val="20"/>
                <w:szCs w:val="20"/>
              </w:rPr>
            </w:pPr>
            <w:r w:rsidRPr="00C74F0E">
              <w:rPr>
                <w:rFonts w:ascii="Century" w:eastAsia="游ゴシック" w:hAnsi="Century" w:cs="ＭＳ Ｐゴシック"/>
                <w:b/>
                <w:bCs/>
                <w:color w:val="000000"/>
                <w:kern w:val="0"/>
                <w:sz w:val="20"/>
                <w:szCs w:val="20"/>
              </w:rPr>
              <w:t>2018</w:t>
            </w:r>
          </w:p>
        </w:tc>
        <w:tc>
          <w:tcPr>
            <w:tcW w:w="1294" w:type="dxa"/>
            <w:tcBorders>
              <w:top w:val="single" w:sz="4" w:space="0" w:color="auto"/>
              <w:left w:val="nil"/>
              <w:bottom w:val="single" w:sz="4" w:space="0" w:color="auto"/>
              <w:right w:val="nil"/>
            </w:tcBorders>
            <w:vAlign w:val="center"/>
          </w:tcPr>
          <w:p w14:paraId="161F2045" w14:textId="5BF803B0" w:rsidR="0024372F" w:rsidRPr="00C74F0E" w:rsidRDefault="0024372F" w:rsidP="0024372F">
            <w:pPr>
              <w:autoSpaceDE w:val="0"/>
              <w:autoSpaceDN w:val="0"/>
              <w:adjustRightInd w:val="0"/>
              <w:jc w:val="center"/>
              <w:rPr>
                <w:rFonts w:ascii="Century" w:hAnsi="Century" w:cs="Arial"/>
                <w:color w:val="000000"/>
                <w:kern w:val="0"/>
                <w:sz w:val="20"/>
                <w:szCs w:val="20"/>
              </w:rPr>
            </w:pPr>
            <w:r w:rsidRPr="00C74F0E">
              <w:rPr>
                <w:rFonts w:ascii="Century" w:eastAsia="游ゴシック" w:hAnsi="Century" w:cs="ＭＳ Ｐゴシック"/>
                <w:b/>
                <w:bCs/>
                <w:color w:val="000000"/>
                <w:kern w:val="0"/>
                <w:sz w:val="20"/>
                <w:szCs w:val="20"/>
              </w:rPr>
              <w:t>2019</w:t>
            </w:r>
          </w:p>
        </w:tc>
        <w:tc>
          <w:tcPr>
            <w:tcW w:w="1294" w:type="dxa"/>
            <w:tcBorders>
              <w:top w:val="single" w:sz="4" w:space="0" w:color="auto"/>
              <w:left w:val="nil"/>
              <w:bottom w:val="single" w:sz="4" w:space="0" w:color="auto"/>
              <w:right w:val="nil"/>
            </w:tcBorders>
            <w:vAlign w:val="center"/>
          </w:tcPr>
          <w:p w14:paraId="4325C6F1" w14:textId="54B270B2" w:rsidR="0024372F" w:rsidRPr="00C74F0E" w:rsidRDefault="0024372F" w:rsidP="0024372F">
            <w:pPr>
              <w:autoSpaceDE w:val="0"/>
              <w:autoSpaceDN w:val="0"/>
              <w:adjustRightInd w:val="0"/>
              <w:jc w:val="center"/>
              <w:rPr>
                <w:rFonts w:ascii="Century" w:hAnsi="Century" w:cs="Arial"/>
                <w:color w:val="000000"/>
                <w:kern w:val="0"/>
                <w:sz w:val="20"/>
                <w:szCs w:val="20"/>
              </w:rPr>
            </w:pPr>
            <w:r w:rsidRPr="00C74F0E">
              <w:rPr>
                <w:rFonts w:ascii="Century" w:eastAsia="游ゴシック" w:hAnsi="Century" w:cs="ＭＳ Ｐゴシック"/>
                <w:b/>
                <w:bCs/>
                <w:color w:val="000000"/>
                <w:kern w:val="0"/>
                <w:sz w:val="20"/>
                <w:szCs w:val="20"/>
              </w:rPr>
              <w:t>2020</w:t>
            </w:r>
          </w:p>
        </w:tc>
      </w:tr>
      <w:tr w:rsidR="00911633" w14:paraId="6B011A5B" w14:textId="77777777" w:rsidTr="0024372F">
        <w:trPr>
          <w:trHeight w:val="319"/>
        </w:trPr>
        <w:tc>
          <w:tcPr>
            <w:tcW w:w="4195" w:type="dxa"/>
            <w:tcBorders>
              <w:top w:val="single" w:sz="4" w:space="0" w:color="auto"/>
              <w:left w:val="nil"/>
              <w:bottom w:val="nil"/>
              <w:right w:val="nil"/>
            </w:tcBorders>
          </w:tcPr>
          <w:p w14:paraId="1443D793" w14:textId="77777777" w:rsidR="00911633" w:rsidRDefault="00911633">
            <w:pPr>
              <w:autoSpaceDE w:val="0"/>
              <w:autoSpaceDN w:val="0"/>
              <w:adjustRightInd w:val="0"/>
              <w:jc w:val="left"/>
              <w:rPr>
                <w:rFonts w:ascii="Arial" w:hAnsi="Arial" w:cs="Arial"/>
                <w:color w:val="000000"/>
                <w:kern w:val="0"/>
                <w:sz w:val="20"/>
                <w:szCs w:val="20"/>
              </w:rPr>
            </w:pPr>
            <w:r>
              <w:rPr>
                <w:rFonts w:ascii="Arial" w:hAnsi="Arial" w:cs="Arial"/>
                <w:color w:val="000000"/>
                <w:kern w:val="0"/>
                <w:sz w:val="20"/>
                <w:szCs w:val="20"/>
              </w:rPr>
              <w:lastRenderedPageBreak/>
              <w:t>自己資本比率</w:t>
            </w:r>
          </w:p>
        </w:tc>
        <w:tc>
          <w:tcPr>
            <w:tcW w:w="1435" w:type="dxa"/>
            <w:tcBorders>
              <w:top w:val="single" w:sz="4" w:space="0" w:color="auto"/>
              <w:left w:val="nil"/>
              <w:bottom w:val="nil"/>
              <w:right w:val="nil"/>
            </w:tcBorders>
          </w:tcPr>
          <w:p w14:paraId="09B1E52B" w14:textId="77777777" w:rsidR="00911633" w:rsidRPr="00C74F0E" w:rsidRDefault="00911633">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79.3%</w:t>
            </w:r>
          </w:p>
        </w:tc>
        <w:tc>
          <w:tcPr>
            <w:tcW w:w="1294" w:type="dxa"/>
            <w:tcBorders>
              <w:top w:val="single" w:sz="4" w:space="0" w:color="auto"/>
              <w:left w:val="nil"/>
              <w:bottom w:val="nil"/>
              <w:right w:val="nil"/>
            </w:tcBorders>
          </w:tcPr>
          <w:p w14:paraId="08B15008" w14:textId="77777777" w:rsidR="00911633" w:rsidRPr="00C74F0E" w:rsidRDefault="00911633">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76.4%</w:t>
            </w:r>
          </w:p>
        </w:tc>
        <w:tc>
          <w:tcPr>
            <w:tcW w:w="1294" w:type="dxa"/>
            <w:tcBorders>
              <w:top w:val="single" w:sz="4" w:space="0" w:color="auto"/>
              <w:left w:val="nil"/>
              <w:bottom w:val="nil"/>
              <w:right w:val="nil"/>
            </w:tcBorders>
          </w:tcPr>
          <w:p w14:paraId="1557F93B" w14:textId="77777777" w:rsidR="00911633" w:rsidRPr="00C74F0E" w:rsidRDefault="00911633">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81.2%</w:t>
            </w:r>
          </w:p>
        </w:tc>
      </w:tr>
      <w:tr w:rsidR="00911633" w14:paraId="22C0F5CA" w14:textId="77777777" w:rsidTr="00911633">
        <w:trPr>
          <w:trHeight w:val="319"/>
        </w:trPr>
        <w:tc>
          <w:tcPr>
            <w:tcW w:w="4195" w:type="dxa"/>
            <w:tcBorders>
              <w:top w:val="nil"/>
              <w:left w:val="nil"/>
              <w:bottom w:val="nil"/>
              <w:right w:val="nil"/>
            </w:tcBorders>
          </w:tcPr>
          <w:p w14:paraId="5F492263" w14:textId="77777777" w:rsidR="00911633" w:rsidRDefault="00911633">
            <w:pPr>
              <w:autoSpaceDE w:val="0"/>
              <w:autoSpaceDN w:val="0"/>
              <w:adjustRightInd w:val="0"/>
              <w:jc w:val="left"/>
              <w:rPr>
                <w:rFonts w:ascii="Arial" w:hAnsi="Arial" w:cs="Arial"/>
                <w:color w:val="000000"/>
                <w:kern w:val="0"/>
                <w:sz w:val="20"/>
                <w:szCs w:val="20"/>
              </w:rPr>
            </w:pPr>
            <w:r>
              <w:rPr>
                <w:rFonts w:ascii="Arial" w:hAnsi="Arial" w:cs="Arial"/>
                <w:color w:val="000000"/>
                <w:kern w:val="0"/>
                <w:sz w:val="20"/>
                <w:szCs w:val="20"/>
              </w:rPr>
              <w:t>財務レバレッジ</w:t>
            </w:r>
          </w:p>
        </w:tc>
        <w:tc>
          <w:tcPr>
            <w:tcW w:w="1435" w:type="dxa"/>
            <w:tcBorders>
              <w:top w:val="nil"/>
              <w:left w:val="nil"/>
              <w:bottom w:val="nil"/>
              <w:right w:val="nil"/>
            </w:tcBorders>
          </w:tcPr>
          <w:p w14:paraId="13B91904" w14:textId="77777777" w:rsidR="00911633" w:rsidRPr="00C74F0E" w:rsidRDefault="00911633">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 xml:space="preserve">1.3 </w:t>
            </w:r>
          </w:p>
        </w:tc>
        <w:tc>
          <w:tcPr>
            <w:tcW w:w="1294" w:type="dxa"/>
            <w:tcBorders>
              <w:top w:val="nil"/>
              <w:left w:val="nil"/>
              <w:bottom w:val="nil"/>
              <w:right w:val="nil"/>
            </w:tcBorders>
          </w:tcPr>
          <w:p w14:paraId="3F017B41" w14:textId="77777777" w:rsidR="00911633" w:rsidRPr="00C74F0E" w:rsidRDefault="00911633">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 xml:space="preserve">1.3 </w:t>
            </w:r>
          </w:p>
        </w:tc>
        <w:tc>
          <w:tcPr>
            <w:tcW w:w="1294" w:type="dxa"/>
            <w:tcBorders>
              <w:top w:val="nil"/>
              <w:left w:val="nil"/>
              <w:bottom w:val="nil"/>
              <w:right w:val="nil"/>
            </w:tcBorders>
          </w:tcPr>
          <w:p w14:paraId="36E24D6C" w14:textId="77777777" w:rsidR="00911633" w:rsidRPr="00C74F0E" w:rsidRDefault="00911633">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 xml:space="preserve">1.2 </w:t>
            </w:r>
          </w:p>
        </w:tc>
      </w:tr>
      <w:tr w:rsidR="00911633" w14:paraId="19C457D6" w14:textId="77777777" w:rsidTr="00911633">
        <w:trPr>
          <w:trHeight w:val="319"/>
        </w:trPr>
        <w:tc>
          <w:tcPr>
            <w:tcW w:w="4195" w:type="dxa"/>
            <w:tcBorders>
              <w:top w:val="nil"/>
              <w:left w:val="nil"/>
              <w:bottom w:val="nil"/>
              <w:right w:val="nil"/>
            </w:tcBorders>
          </w:tcPr>
          <w:p w14:paraId="5E77C6E0" w14:textId="77777777" w:rsidR="00911633" w:rsidRDefault="00911633">
            <w:pPr>
              <w:autoSpaceDE w:val="0"/>
              <w:autoSpaceDN w:val="0"/>
              <w:adjustRightInd w:val="0"/>
              <w:jc w:val="left"/>
              <w:rPr>
                <w:rFonts w:ascii="Arial" w:hAnsi="Arial" w:cs="Arial"/>
                <w:color w:val="000000"/>
                <w:kern w:val="0"/>
                <w:sz w:val="20"/>
                <w:szCs w:val="20"/>
              </w:rPr>
            </w:pPr>
            <w:r>
              <w:rPr>
                <w:rFonts w:ascii="Arial" w:hAnsi="Arial" w:cs="Arial"/>
                <w:color w:val="000000"/>
                <w:kern w:val="0"/>
                <w:sz w:val="20"/>
                <w:szCs w:val="20"/>
              </w:rPr>
              <w:t>流動比率</w:t>
            </w:r>
          </w:p>
        </w:tc>
        <w:tc>
          <w:tcPr>
            <w:tcW w:w="1435" w:type="dxa"/>
            <w:tcBorders>
              <w:top w:val="nil"/>
              <w:left w:val="nil"/>
              <w:bottom w:val="nil"/>
              <w:right w:val="nil"/>
            </w:tcBorders>
          </w:tcPr>
          <w:p w14:paraId="34157324" w14:textId="77777777" w:rsidR="00911633" w:rsidRPr="00C74F0E" w:rsidRDefault="00911633">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290.5%</w:t>
            </w:r>
          </w:p>
        </w:tc>
        <w:tc>
          <w:tcPr>
            <w:tcW w:w="1294" w:type="dxa"/>
            <w:tcBorders>
              <w:top w:val="nil"/>
              <w:left w:val="nil"/>
              <w:bottom w:val="nil"/>
              <w:right w:val="nil"/>
            </w:tcBorders>
          </w:tcPr>
          <w:p w14:paraId="35EEF7E8" w14:textId="77777777" w:rsidR="00911633" w:rsidRPr="00C74F0E" w:rsidRDefault="00911633">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285.7%</w:t>
            </w:r>
          </w:p>
        </w:tc>
        <w:tc>
          <w:tcPr>
            <w:tcW w:w="1294" w:type="dxa"/>
            <w:tcBorders>
              <w:top w:val="nil"/>
              <w:left w:val="nil"/>
              <w:bottom w:val="nil"/>
              <w:right w:val="nil"/>
            </w:tcBorders>
          </w:tcPr>
          <w:p w14:paraId="2BA9523A" w14:textId="77777777" w:rsidR="00911633" w:rsidRPr="00C74F0E" w:rsidRDefault="00911633">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315.2%</w:t>
            </w:r>
          </w:p>
        </w:tc>
      </w:tr>
      <w:tr w:rsidR="00911633" w14:paraId="4D6BDE10" w14:textId="77777777" w:rsidTr="00911633">
        <w:trPr>
          <w:trHeight w:val="319"/>
        </w:trPr>
        <w:tc>
          <w:tcPr>
            <w:tcW w:w="4195" w:type="dxa"/>
            <w:tcBorders>
              <w:top w:val="nil"/>
              <w:left w:val="nil"/>
              <w:bottom w:val="nil"/>
              <w:right w:val="nil"/>
            </w:tcBorders>
          </w:tcPr>
          <w:p w14:paraId="1C6A5B46" w14:textId="77777777" w:rsidR="00911633" w:rsidRDefault="00911633">
            <w:pPr>
              <w:autoSpaceDE w:val="0"/>
              <w:autoSpaceDN w:val="0"/>
              <w:adjustRightInd w:val="0"/>
              <w:jc w:val="left"/>
              <w:rPr>
                <w:rFonts w:ascii="Arial" w:hAnsi="Arial" w:cs="Arial"/>
                <w:color w:val="000000"/>
                <w:kern w:val="0"/>
                <w:sz w:val="20"/>
                <w:szCs w:val="20"/>
              </w:rPr>
            </w:pPr>
            <w:r>
              <w:rPr>
                <w:rFonts w:ascii="Arial" w:hAnsi="Arial" w:cs="Arial"/>
                <w:color w:val="000000"/>
                <w:kern w:val="0"/>
                <w:sz w:val="20"/>
                <w:szCs w:val="20"/>
              </w:rPr>
              <w:t>固定比率</w:t>
            </w:r>
          </w:p>
        </w:tc>
        <w:tc>
          <w:tcPr>
            <w:tcW w:w="1435" w:type="dxa"/>
            <w:tcBorders>
              <w:top w:val="nil"/>
              <w:left w:val="nil"/>
              <w:bottom w:val="nil"/>
              <w:right w:val="nil"/>
            </w:tcBorders>
          </w:tcPr>
          <w:p w14:paraId="373C5E8D" w14:textId="77777777" w:rsidR="00911633" w:rsidRPr="00C74F0E" w:rsidRDefault="00911633">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76.4%</w:t>
            </w:r>
          </w:p>
        </w:tc>
        <w:tc>
          <w:tcPr>
            <w:tcW w:w="1294" w:type="dxa"/>
            <w:tcBorders>
              <w:top w:val="nil"/>
              <w:left w:val="nil"/>
              <w:bottom w:val="nil"/>
              <w:right w:val="nil"/>
            </w:tcBorders>
          </w:tcPr>
          <w:p w14:paraId="22042410" w14:textId="77777777" w:rsidR="00911633" w:rsidRPr="00C74F0E" w:rsidRDefault="00911633">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75.9%</w:t>
            </w:r>
          </w:p>
        </w:tc>
        <w:tc>
          <w:tcPr>
            <w:tcW w:w="1294" w:type="dxa"/>
            <w:tcBorders>
              <w:top w:val="nil"/>
              <w:left w:val="nil"/>
              <w:bottom w:val="nil"/>
              <w:right w:val="nil"/>
            </w:tcBorders>
          </w:tcPr>
          <w:p w14:paraId="13E82F50" w14:textId="77777777" w:rsidR="00911633" w:rsidRPr="00C74F0E" w:rsidRDefault="00911633">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84.6%</w:t>
            </w:r>
          </w:p>
        </w:tc>
      </w:tr>
      <w:tr w:rsidR="00911633" w14:paraId="3CEDD8A5" w14:textId="77777777" w:rsidTr="00DF1BDA">
        <w:trPr>
          <w:trHeight w:val="319"/>
        </w:trPr>
        <w:tc>
          <w:tcPr>
            <w:tcW w:w="4195" w:type="dxa"/>
            <w:tcBorders>
              <w:top w:val="nil"/>
              <w:left w:val="nil"/>
              <w:right w:val="nil"/>
            </w:tcBorders>
          </w:tcPr>
          <w:p w14:paraId="3E32E906" w14:textId="77777777" w:rsidR="00911633" w:rsidRDefault="00911633">
            <w:pPr>
              <w:autoSpaceDE w:val="0"/>
              <w:autoSpaceDN w:val="0"/>
              <w:adjustRightInd w:val="0"/>
              <w:jc w:val="left"/>
              <w:rPr>
                <w:rFonts w:ascii="Arial" w:hAnsi="Arial" w:cs="Arial"/>
                <w:color w:val="000000"/>
                <w:kern w:val="0"/>
                <w:sz w:val="20"/>
                <w:szCs w:val="20"/>
              </w:rPr>
            </w:pPr>
            <w:r>
              <w:rPr>
                <w:rFonts w:ascii="Arial" w:hAnsi="Arial" w:cs="Arial"/>
                <w:color w:val="000000"/>
                <w:kern w:val="0"/>
                <w:sz w:val="20"/>
                <w:szCs w:val="20"/>
              </w:rPr>
              <w:t>固定長期適合率</w:t>
            </w:r>
          </w:p>
        </w:tc>
        <w:tc>
          <w:tcPr>
            <w:tcW w:w="1435" w:type="dxa"/>
            <w:tcBorders>
              <w:top w:val="nil"/>
              <w:left w:val="nil"/>
              <w:right w:val="nil"/>
            </w:tcBorders>
          </w:tcPr>
          <w:p w14:paraId="42226385" w14:textId="77777777" w:rsidR="00911633" w:rsidRPr="00C74F0E" w:rsidRDefault="00911633">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70.1%</w:t>
            </w:r>
          </w:p>
        </w:tc>
        <w:tc>
          <w:tcPr>
            <w:tcW w:w="1294" w:type="dxa"/>
            <w:tcBorders>
              <w:top w:val="nil"/>
              <w:left w:val="nil"/>
              <w:right w:val="nil"/>
            </w:tcBorders>
          </w:tcPr>
          <w:p w14:paraId="3C50C513" w14:textId="77777777" w:rsidR="00911633" w:rsidRPr="00C74F0E" w:rsidRDefault="00911633">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68.0%</w:t>
            </w:r>
          </w:p>
        </w:tc>
        <w:tc>
          <w:tcPr>
            <w:tcW w:w="1294" w:type="dxa"/>
            <w:tcBorders>
              <w:top w:val="nil"/>
              <w:left w:val="nil"/>
              <w:right w:val="nil"/>
            </w:tcBorders>
          </w:tcPr>
          <w:p w14:paraId="01A548FE" w14:textId="77777777" w:rsidR="00911633" w:rsidRPr="00C74F0E" w:rsidRDefault="00911633">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76.2%</w:t>
            </w:r>
          </w:p>
        </w:tc>
      </w:tr>
      <w:tr w:rsidR="0024372F" w14:paraId="71B53071" w14:textId="77777777" w:rsidTr="00DF1BDA">
        <w:trPr>
          <w:trHeight w:val="319"/>
        </w:trPr>
        <w:tc>
          <w:tcPr>
            <w:tcW w:w="4195" w:type="dxa"/>
            <w:tcBorders>
              <w:top w:val="nil"/>
              <w:left w:val="nil"/>
              <w:bottom w:val="single" w:sz="4" w:space="0" w:color="auto"/>
              <w:right w:val="nil"/>
            </w:tcBorders>
          </w:tcPr>
          <w:p w14:paraId="22303762" w14:textId="76ED529B" w:rsidR="0024372F" w:rsidRDefault="0024372F" w:rsidP="0024372F">
            <w:pPr>
              <w:autoSpaceDE w:val="0"/>
              <w:autoSpaceDN w:val="0"/>
              <w:adjustRightInd w:val="0"/>
              <w:jc w:val="left"/>
              <w:rPr>
                <w:rFonts w:ascii="Arial" w:hAnsi="Arial" w:cs="Arial"/>
                <w:color w:val="000000"/>
                <w:kern w:val="0"/>
                <w:sz w:val="20"/>
                <w:szCs w:val="20"/>
              </w:rPr>
            </w:pPr>
            <w:r>
              <w:rPr>
                <w:rFonts w:ascii="Arial" w:hAnsi="Arial" w:cs="Arial"/>
                <w:color w:val="000000"/>
                <w:kern w:val="0"/>
                <w:sz w:val="20"/>
                <w:szCs w:val="20"/>
              </w:rPr>
              <w:t>ネット</w:t>
            </w:r>
            <w:r>
              <w:rPr>
                <w:rFonts w:ascii="Arial" w:hAnsi="Arial" w:cs="Arial"/>
                <w:color w:val="000000"/>
                <w:kern w:val="0"/>
                <w:sz w:val="20"/>
                <w:szCs w:val="20"/>
              </w:rPr>
              <w:t>D/E</w:t>
            </w:r>
            <w:r>
              <w:rPr>
                <w:rFonts w:ascii="Arial" w:hAnsi="Arial" w:cs="Arial"/>
                <w:color w:val="000000"/>
                <w:kern w:val="0"/>
                <w:sz w:val="20"/>
                <w:szCs w:val="20"/>
              </w:rPr>
              <w:t>レシオ</w:t>
            </w:r>
          </w:p>
        </w:tc>
        <w:tc>
          <w:tcPr>
            <w:tcW w:w="1435" w:type="dxa"/>
            <w:tcBorders>
              <w:top w:val="nil"/>
              <w:left w:val="nil"/>
              <w:bottom w:val="single" w:sz="4" w:space="0" w:color="auto"/>
              <w:right w:val="nil"/>
            </w:tcBorders>
          </w:tcPr>
          <w:p w14:paraId="2EC95D7B" w14:textId="0986F168" w:rsidR="0024372F" w:rsidRPr="00C74F0E" w:rsidRDefault="0024372F" w:rsidP="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-32.8%</w:t>
            </w:r>
          </w:p>
        </w:tc>
        <w:tc>
          <w:tcPr>
            <w:tcW w:w="1294" w:type="dxa"/>
            <w:tcBorders>
              <w:top w:val="nil"/>
              <w:left w:val="nil"/>
              <w:bottom w:val="single" w:sz="4" w:space="0" w:color="auto"/>
              <w:right w:val="nil"/>
            </w:tcBorders>
          </w:tcPr>
          <w:p w14:paraId="7E13F7F8" w14:textId="18E7E83E" w:rsidR="0024372F" w:rsidRPr="00C74F0E" w:rsidRDefault="0024372F" w:rsidP="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-33.5%</w:t>
            </w:r>
          </w:p>
        </w:tc>
        <w:tc>
          <w:tcPr>
            <w:tcW w:w="1294" w:type="dxa"/>
            <w:tcBorders>
              <w:top w:val="nil"/>
              <w:left w:val="nil"/>
              <w:bottom w:val="single" w:sz="4" w:space="0" w:color="auto"/>
              <w:right w:val="nil"/>
            </w:tcBorders>
          </w:tcPr>
          <w:p w14:paraId="5F1CDF73" w14:textId="13C5549D" w:rsidR="0024372F" w:rsidRPr="00C74F0E" w:rsidRDefault="0024372F" w:rsidP="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-21.2%</w:t>
            </w:r>
          </w:p>
        </w:tc>
      </w:tr>
    </w:tbl>
    <w:p w14:paraId="42B34E1F" w14:textId="379C05FC" w:rsidR="00911633" w:rsidRPr="0024372F" w:rsidRDefault="0024372F" w:rsidP="006D42E6">
      <w:r>
        <w:rPr>
          <w:rFonts w:hint="eastAsia"/>
        </w:rPr>
        <w:t>出典：オリエンタルランド</w:t>
      </w:r>
      <w:r w:rsidR="00AF3BD8">
        <w:rPr>
          <w:rFonts w:hint="eastAsia"/>
        </w:rPr>
        <w:t>社「有価証券報告書」</w:t>
      </w:r>
      <w:r>
        <w:rPr>
          <w:rFonts w:hint="eastAsia"/>
        </w:rPr>
        <w:t>より筆者作成。</w:t>
      </w:r>
    </w:p>
    <w:p w14:paraId="787760A8" w14:textId="77777777" w:rsidR="00911633" w:rsidRDefault="00911633" w:rsidP="006D42E6"/>
    <w:p w14:paraId="7F96AE70" w14:textId="1CB76445" w:rsidR="00EB201A" w:rsidRDefault="002573EA" w:rsidP="006D42E6">
      <w:r>
        <w:rPr>
          <w:rFonts w:hint="eastAsia"/>
          <w:b/>
          <w:bCs/>
        </w:rPr>
        <w:t>2</w:t>
      </w:r>
      <w:r w:rsidR="00EB201A" w:rsidRPr="0012638A">
        <w:rPr>
          <w:rFonts w:hint="eastAsia"/>
          <w:b/>
          <w:bCs/>
        </w:rPr>
        <w:t>−</w:t>
      </w:r>
      <w:r w:rsidR="00C01BB9">
        <w:rPr>
          <w:rFonts w:hint="eastAsia"/>
          <w:b/>
          <w:bCs/>
        </w:rPr>
        <w:t>3</w:t>
      </w:r>
      <w:r w:rsidR="00EB201A">
        <w:rPr>
          <w:rFonts w:hint="eastAsia"/>
          <w:b/>
          <w:bCs/>
        </w:rPr>
        <w:t>−</w:t>
      </w:r>
      <w:r w:rsidR="00C01BB9">
        <w:rPr>
          <w:rFonts w:hint="eastAsia"/>
          <w:b/>
          <w:bCs/>
        </w:rPr>
        <w:t>3</w:t>
      </w:r>
      <w:r w:rsidR="00EB201A" w:rsidRPr="0012638A">
        <w:rPr>
          <w:rFonts w:hint="eastAsia"/>
          <w:b/>
          <w:bCs/>
        </w:rPr>
        <w:t>．</w:t>
      </w:r>
      <w:r w:rsidR="00EB201A">
        <w:rPr>
          <w:rFonts w:hint="eastAsia"/>
          <w:b/>
          <w:bCs/>
        </w:rPr>
        <w:t>小括</w:t>
      </w:r>
    </w:p>
    <w:p w14:paraId="52AEF5F9" w14:textId="3F871355" w:rsidR="00BF1EFB" w:rsidRDefault="00EB201A" w:rsidP="006D42E6">
      <w:pPr>
        <w:rPr>
          <w:color w:val="000000" w:themeColor="text1"/>
        </w:rPr>
      </w:pPr>
      <w:r>
        <w:rPr>
          <w:rFonts w:hint="eastAsia"/>
          <w:color w:val="000000" w:themeColor="text1"/>
        </w:rPr>
        <w:t xml:space="preserve">　</w:t>
      </w:r>
      <w:r w:rsidR="005A7EA0">
        <w:rPr>
          <w:rFonts w:hint="eastAsia"/>
          <w:color w:val="000000" w:themeColor="text1"/>
        </w:rPr>
        <w:t>以上より、財務の</w:t>
      </w:r>
      <w:r>
        <w:rPr>
          <w:rFonts w:hint="eastAsia"/>
          <w:color w:val="000000" w:themeColor="text1"/>
        </w:rPr>
        <w:t>安全性分析で</w:t>
      </w:r>
      <w:r w:rsidR="005A7EA0">
        <w:rPr>
          <w:rFonts w:hint="eastAsia"/>
          <w:color w:val="000000" w:themeColor="text1"/>
        </w:rPr>
        <w:t>明らかにされた</w:t>
      </w:r>
      <w:r>
        <w:rPr>
          <w:rFonts w:hint="eastAsia"/>
          <w:color w:val="000000" w:themeColor="text1"/>
        </w:rPr>
        <w:t>が</w:t>
      </w:r>
      <w:r w:rsidR="005A7EA0">
        <w:rPr>
          <w:rFonts w:hint="eastAsia"/>
          <w:color w:val="000000" w:themeColor="text1"/>
        </w:rPr>
        <w:t>、</w:t>
      </w:r>
      <w:r w:rsidR="001B11F1">
        <w:rPr>
          <w:rFonts w:hint="eastAsia"/>
        </w:rPr>
        <w:t>O</w:t>
      </w:r>
      <w:r w:rsidR="001B11F1">
        <w:t>LC</w:t>
      </w:r>
      <w:r w:rsidR="005A7EA0">
        <w:rPr>
          <w:rFonts w:hint="eastAsia"/>
          <w:color w:val="000000" w:themeColor="text1"/>
        </w:rPr>
        <w:t>の財政状態は、ほぼ無借金経営であり、かつ追加的に流動的な資金を保有している状態である。懸念材料は、固定比率や固定長期適合比率の上昇であるが、</w:t>
      </w:r>
      <w:r w:rsidR="001B11F1">
        <w:rPr>
          <w:rFonts w:hint="eastAsia"/>
        </w:rPr>
        <w:t>O</w:t>
      </w:r>
      <w:r w:rsidR="001B11F1">
        <w:t>LC</w:t>
      </w:r>
      <w:r w:rsidR="005A7EA0">
        <w:rPr>
          <w:rFonts w:hint="eastAsia"/>
          <w:color w:val="000000" w:themeColor="text1"/>
        </w:rPr>
        <w:t>は</w:t>
      </w:r>
      <w:r w:rsidR="00BF1EFB">
        <w:rPr>
          <w:rFonts w:hint="eastAsia"/>
          <w:color w:val="000000" w:themeColor="text1"/>
        </w:rPr>
        <w:t>、</w:t>
      </w:r>
      <w:r w:rsidR="005A7EA0">
        <w:rPr>
          <w:rFonts w:hint="eastAsia"/>
          <w:color w:val="000000" w:themeColor="text1"/>
        </w:rPr>
        <w:t>設備投資を</w:t>
      </w:r>
      <w:r w:rsidR="00BF1EFB">
        <w:rPr>
          <w:rFonts w:hint="eastAsia"/>
          <w:color w:val="000000" w:themeColor="text1"/>
        </w:rPr>
        <w:t>借入金などの負債ではなく、</w:t>
      </w:r>
      <w:r w:rsidR="005A7EA0">
        <w:rPr>
          <w:rFonts w:hint="eastAsia"/>
          <w:color w:val="000000" w:themeColor="text1"/>
        </w:rPr>
        <w:t>キャッシュ</w:t>
      </w:r>
      <w:r w:rsidR="00BF1EFB">
        <w:rPr>
          <w:rFonts w:hint="eastAsia"/>
          <w:color w:val="000000" w:themeColor="text1"/>
        </w:rPr>
        <w:t>でほぼ賄っているため、将来的には減価償却の自己金融効果により営業</w:t>
      </w:r>
      <w:r w:rsidR="00BF1EFB">
        <w:rPr>
          <w:color w:val="000000" w:themeColor="text1"/>
        </w:rPr>
        <w:t>CF</w:t>
      </w:r>
      <w:r w:rsidR="00BF1EFB">
        <w:rPr>
          <w:rFonts w:hint="eastAsia"/>
          <w:color w:val="000000" w:themeColor="text1"/>
        </w:rPr>
        <w:t>への転化が期待される。</w:t>
      </w:r>
    </w:p>
    <w:p w14:paraId="1D1F31E4" w14:textId="77777777" w:rsidR="00DA3FCF" w:rsidRDefault="00DA3FCF" w:rsidP="00686F3F"/>
    <w:p w14:paraId="50C9C8E6" w14:textId="441DF3B1" w:rsidR="00CC484E" w:rsidRDefault="00C01BB9" w:rsidP="00686F3F">
      <w:r>
        <w:rPr>
          <w:b/>
          <w:bCs/>
        </w:rPr>
        <w:t>2</w:t>
      </w:r>
      <w:r w:rsidR="00CC484E" w:rsidRPr="0012638A">
        <w:rPr>
          <w:rFonts w:hint="eastAsia"/>
          <w:b/>
          <w:bCs/>
        </w:rPr>
        <w:t>−</w:t>
      </w:r>
      <w:r>
        <w:rPr>
          <w:rFonts w:hint="eastAsia"/>
          <w:b/>
          <w:bCs/>
        </w:rPr>
        <w:t>4</w:t>
      </w:r>
      <w:r w:rsidR="00CC484E" w:rsidRPr="0012638A">
        <w:rPr>
          <w:rFonts w:hint="eastAsia"/>
          <w:b/>
          <w:bCs/>
        </w:rPr>
        <w:t>．</w:t>
      </w:r>
      <w:r w:rsidR="00CC484E">
        <w:rPr>
          <w:rFonts w:hint="eastAsia"/>
          <w:b/>
          <w:bCs/>
        </w:rPr>
        <w:t>新型コロナウイルスに</w:t>
      </w:r>
      <w:r w:rsidR="00BA0B29">
        <w:rPr>
          <w:rFonts w:hint="eastAsia"/>
          <w:b/>
          <w:bCs/>
        </w:rPr>
        <w:t>よる</w:t>
      </w:r>
      <w:r w:rsidR="00CC484E">
        <w:rPr>
          <w:rFonts w:hint="eastAsia"/>
          <w:b/>
          <w:bCs/>
        </w:rPr>
        <w:t>財務影響分析</w:t>
      </w:r>
      <w:r w:rsidR="0058072C">
        <w:rPr>
          <w:rFonts w:hint="eastAsia"/>
          <w:b/>
          <w:bCs/>
        </w:rPr>
        <w:t>－オリエンタルランド社－</w:t>
      </w:r>
    </w:p>
    <w:p w14:paraId="682D0DEC" w14:textId="75BC06D8" w:rsidR="003075B8" w:rsidRDefault="003075B8" w:rsidP="00686F3F">
      <w:r>
        <w:rPr>
          <w:rFonts w:hint="eastAsia"/>
        </w:rPr>
        <w:t xml:space="preserve">　前節では、</w:t>
      </w:r>
      <w:r w:rsidR="001B11F1">
        <w:rPr>
          <w:rFonts w:hint="eastAsia"/>
        </w:rPr>
        <w:t>O</w:t>
      </w:r>
      <w:r w:rsidR="001B11F1">
        <w:t>LC</w:t>
      </w:r>
      <w:r>
        <w:rPr>
          <w:rFonts w:hint="eastAsia"/>
        </w:rPr>
        <w:t>の経営成績と財政状態を確認し、主に財務分析の安全性の指標を用いて、財政上の支払能力について財務分析を行った。しかし、ここまでは2020年度３月期までの経営状態を明らかにしているが、新型コロナウイルスによる財務的影響は2021年度第1四半期（４月から６月）からである。</w:t>
      </w:r>
    </w:p>
    <w:p w14:paraId="237C05EE" w14:textId="77777777" w:rsidR="003075B8" w:rsidRDefault="003075B8" w:rsidP="003075B8">
      <w:pPr>
        <w:ind w:firstLineChars="100" w:firstLine="210"/>
      </w:pPr>
      <w:r>
        <w:rPr>
          <w:rFonts w:hint="eastAsia"/>
        </w:rPr>
        <w:t>本節では、2020年度３月決算と2021年度第１四半期報告書を比較し、財務上の影響分析を行なっていく。</w:t>
      </w:r>
    </w:p>
    <w:p w14:paraId="67FC4437" w14:textId="77777777" w:rsidR="003075B8" w:rsidRPr="003075B8" w:rsidRDefault="003075B8" w:rsidP="00686F3F"/>
    <w:p w14:paraId="53D1DA21" w14:textId="1FC17371" w:rsidR="00CC484E" w:rsidRPr="00CC484E" w:rsidRDefault="000214C0" w:rsidP="00686F3F">
      <w:pPr>
        <w:rPr>
          <w:b/>
          <w:bCs/>
        </w:rPr>
      </w:pPr>
      <w:r>
        <w:rPr>
          <w:rFonts w:hint="eastAsia"/>
          <w:b/>
          <w:bCs/>
        </w:rPr>
        <w:t>2</w:t>
      </w:r>
      <w:r w:rsidR="00CC484E" w:rsidRPr="0012638A">
        <w:rPr>
          <w:rFonts w:hint="eastAsia"/>
          <w:b/>
          <w:bCs/>
        </w:rPr>
        <w:t>−</w:t>
      </w:r>
      <w:r>
        <w:rPr>
          <w:rFonts w:hint="eastAsia"/>
          <w:b/>
          <w:bCs/>
        </w:rPr>
        <w:t>4</w:t>
      </w:r>
      <w:r w:rsidR="00CC484E">
        <w:rPr>
          <w:rFonts w:hint="eastAsia"/>
          <w:b/>
          <w:bCs/>
        </w:rPr>
        <w:t>−</w:t>
      </w:r>
      <w:r>
        <w:rPr>
          <w:rFonts w:hint="eastAsia"/>
          <w:b/>
          <w:bCs/>
        </w:rPr>
        <w:t>1</w:t>
      </w:r>
      <w:r w:rsidR="00CC484E">
        <w:rPr>
          <w:rFonts w:hint="eastAsia"/>
          <w:b/>
          <w:bCs/>
        </w:rPr>
        <w:t>．</w:t>
      </w:r>
      <w:r w:rsidR="00C92144">
        <w:rPr>
          <w:rFonts w:hint="eastAsia"/>
          <w:b/>
          <w:bCs/>
        </w:rPr>
        <w:t>新型コロナウイルス後の経営成績</w:t>
      </w:r>
    </w:p>
    <w:p w14:paraId="34AA1043" w14:textId="30340379" w:rsidR="003075B8" w:rsidRDefault="00CC484E" w:rsidP="00686F3F">
      <w:r>
        <w:rPr>
          <w:rFonts w:hint="eastAsia"/>
        </w:rPr>
        <w:t xml:space="preserve">　</w:t>
      </w:r>
      <w:r w:rsidR="00C92144">
        <w:rPr>
          <w:rFonts w:hint="eastAsia"/>
        </w:rPr>
        <w:t>新型コロナウイルスの財務上の影響は四半期報告書を調べることにより、経営成績にどの程度影響があったかを確認することができる。表</w:t>
      </w:r>
      <w:r w:rsidR="007841EC">
        <w:rPr>
          <w:rFonts w:hint="eastAsia"/>
        </w:rPr>
        <w:t>7</w:t>
      </w:r>
      <w:r w:rsidR="00C92144">
        <w:rPr>
          <w:rFonts w:hint="eastAsia"/>
        </w:rPr>
        <w:t>は、四半期</w:t>
      </w:r>
      <w:r w:rsidR="00605D23">
        <w:rPr>
          <w:rFonts w:hint="eastAsia"/>
        </w:rPr>
        <w:t>報告書</w:t>
      </w:r>
      <w:r w:rsidR="00C92144">
        <w:rPr>
          <w:rFonts w:hint="eastAsia"/>
        </w:rPr>
        <w:t>の</w:t>
      </w:r>
      <w:r w:rsidR="00605D23">
        <w:rPr>
          <w:rFonts w:hint="eastAsia"/>
        </w:rPr>
        <w:t>損益計算書</w:t>
      </w:r>
      <w:r w:rsidR="00C92144">
        <w:rPr>
          <w:rFonts w:hint="eastAsia"/>
        </w:rPr>
        <w:t>に基づき、</w:t>
      </w:r>
      <w:r w:rsidR="00605D23">
        <w:rPr>
          <w:rFonts w:hint="eastAsia"/>
        </w:rPr>
        <w:t>経営成績</w:t>
      </w:r>
      <w:r w:rsidR="00C92144">
        <w:rPr>
          <w:rFonts w:hint="eastAsia"/>
        </w:rPr>
        <w:t>を一部抜粋して整理したものである。</w:t>
      </w:r>
    </w:p>
    <w:p w14:paraId="7B3E9FDF" w14:textId="77777777" w:rsidR="00C92144" w:rsidRDefault="00C92144" w:rsidP="00686F3F">
      <w:r>
        <w:rPr>
          <w:rFonts w:hint="eastAsia"/>
        </w:rPr>
        <w:t xml:space="preserve">　まず、2020年度第４四半期の売上高は、新型コロナの影響を受けて、第３期四半期と比較して、約半減していることが分かる。営業利益も約4</w:t>
      </w:r>
      <w:r>
        <w:t>1.7</w:t>
      </w:r>
      <w:r>
        <w:rPr>
          <w:rFonts w:hint="eastAsia"/>
        </w:rPr>
        <w:t>億円赤字を計上し、2011年の東日本大震災以来の赤字となった。最終的には、特別損失を92</w:t>
      </w:r>
      <w:r>
        <w:t>.</w:t>
      </w:r>
      <w:r>
        <w:rPr>
          <w:rFonts w:hint="eastAsia"/>
        </w:rPr>
        <w:t>7億円計上し、当期純利益は</w:t>
      </w:r>
      <w:r>
        <w:t>87.7</w:t>
      </w:r>
      <w:r>
        <w:rPr>
          <w:rFonts w:hint="eastAsia"/>
        </w:rPr>
        <w:t>億円の赤字である。</w:t>
      </w:r>
    </w:p>
    <w:p w14:paraId="3B2983E9" w14:textId="05A1F6FB" w:rsidR="00BA6333" w:rsidRDefault="00C92144" w:rsidP="00317918">
      <w:r>
        <w:rPr>
          <w:rFonts w:hint="eastAsia"/>
        </w:rPr>
        <w:t xml:space="preserve">　次に、2021年度第1四半期は</w:t>
      </w:r>
      <w:r w:rsidR="00317918">
        <w:rPr>
          <w:rFonts w:hint="eastAsia"/>
        </w:rPr>
        <w:t>、さらに</w:t>
      </w:r>
      <w:r>
        <w:rPr>
          <w:rFonts w:hint="eastAsia"/>
        </w:rPr>
        <w:t>経営成績が悪化し、売上高は</w:t>
      </w:r>
      <w:r>
        <w:t>61.6</w:t>
      </w:r>
      <w:r>
        <w:rPr>
          <w:rFonts w:hint="eastAsia"/>
        </w:rPr>
        <w:t>億円</w:t>
      </w:r>
      <w:r w:rsidR="00317918">
        <w:rPr>
          <w:rFonts w:hint="eastAsia"/>
        </w:rPr>
        <w:t>とな</w:t>
      </w:r>
      <w:r>
        <w:rPr>
          <w:rFonts w:hint="eastAsia"/>
        </w:rPr>
        <w:t>った。決算短信</w:t>
      </w:r>
      <w:r w:rsidR="00317918">
        <w:rPr>
          <w:rFonts w:hint="eastAsia"/>
        </w:rPr>
        <w:t>によると、本期間の業績として1200億円の売上高を予測していたが、予測値よりも9</w:t>
      </w:r>
      <w:r w:rsidR="00317918">
        <w:t>4.8%</w:t>
      </w:r>
      <w:r w:rsidR="00317918">
        <w:rPr>
          <w:rFonts w:hint="eastAsia"/>
        </w:rPr>
        <w:t>減少することとなった</w:t>
      </w:r>
      <w:r w:rsidR="00EB1F09">
        <w:rPr>
          <w:rFonts w:hint="eastAsia"/>
        </w:rPr>
        <w:t>。また、休業に伴い、各種費用の縮小化を図っており、売上原価は前期比の5分の1の129.</w:t>
      </w:r>
      <w:r w:rsidR="00EB1F09">
        <w:t>6</w:t>
      </w:r>
      <w:r w:rsidR="00EB1F09">
        <w:rPr>
          <w:rFonts w:hint="eastAsia"/>
        </w:rPr>
        <w:t>億円、販管費は半減して8</w:t>
      </w:r>
      <w:r w:rsidR="00EB1F09">
        <w:t>8.4</w:t>
      </w:r>
      <w:r w:rsidR="00EB1F09">
        <w:rPr>
          <w:rFonts w:hint="eastAsia"/>
        </w:rPr>
        <w:t>億円となった。しかし、最終的には、前期から引き続き、新たに特別損失を2</w:t>
      </w:r>
      <w:r w:rsidR="00EB1F09">
        <w:t>11.9</w:t>
      </w:r>
      <w:r w:rsidR="00EB1F09">
        <w:rPr>
          <w:rFonts w:hint="eastAsia"/>
        </w:rPr>
        <w:t>億円計上し、当期純利益は2</w:t>
      </w:r>
      <w:r w:rsidR="00EB1F09">
        <w:t>48.7</w:t>
      </w:r>
      <w:r w:rsidR="00EB1F09">
        <w:rPr>
          <w:rFonts w:hint="eastAsia"/>
        </w:rPr>
        <w:t>億</w:t>
      </w:r>
      <w:r w:rsidR="00EB1F09">
        <w:rPr>
          <w:rFonts w:hint="eastAsia"/>
        </w:rPr>
        <w:lastRenderedPageBreak/>
        <w:t>円の赤字となった</w:t>
      </w:r>
      <w:r w:rsidR="00BA1F98">
        <w:rPr>
          <w:rStyle w:val="af0"/>
        </w:rPr>
        <w:footnoteReference w:id="2"/>
      </w:r>
      <w:r w:rsidR="00EB1F09">
        <w:rPr>
          <w:rFonts w:hint="eastAsia"/>
        </w:rPr>
        <w:t>。</w:t>
      </w:r>
    </w:p>
    <w:p w14:paraId="4B496AC3" w14:textId="211EFA13" w:rsidR="00EB1F09" w:rsidRPr="00317918" w:rsidRDefault="00EB1F09" w:rsidP="00317918">
      <w:pPr>
        <w:sectPr w:rsidR="00EB1F09" w:rsidRPr="00317918">
          <w:pgSz w:w="11906" w:h="16838"/>
          <w:pgMar w:top="1985" w:right="1701" w:bottom="1701" w:left="1701" w:header="851" w:footer="992" w:gutter="0"/>
          <w:cols w:space="425"/>
          <w:docGrid w:type="lines" w:linePitch="360"/>
        </w:sectPr>
      </w:pPr>
      <w:r>
        <w:rPr>
          <w:rFonts w:hint="eastAsia"/>
        </w:rPr>
        <w:t xml:space="preserve">　このように、</w:t>
      </w:r>
      <w:r w:rsidR="00086A6C">
        <w:rPr>
          <w:rFonts w:hint="eastAsia"/>
        </w:rPr>
        <w:t>2020年度第4四半期と2021年度第1四半期の2期で、約346億円の赤字を計上しており、</w:t>
      </w:r>
      <w:r w:rsidR="00BA1F98">
        <w:rPr>
          <w:rFonts w:hint="eastAsia"/>
        </w:rPr>
        <w:t>当面の間、経営上の課題として</w:t>
      </w:r>
      <w:r w:rsidR="00086A6C">
        <w:rPr>
          <w:rFonts w:hint="eastAsia"/>
        </w:rPr>
        <w:t>売上高の回復と売上原価や販管費の</w:t>
      </w:r>
      <w:r w:rsidR="00BA1F98">
        <w:rPr>
          <w:rFonts w:hint="eastAsia"/>
        </w:rPr>
        <w:t>調整に焦点が当てられる。</w:t>
      </w:r>
      <w:r w:rsidR="00A331BF">
        <w:rPr>
          <w:rFonts w:hint="eastAsia"/>
        </w:rPr>
        <w:t>また、</w:t>
      </w:r>
      <w:r w:rsidR="0079537D">
        <w:rPr>
          <w:rFonts w:hint="eastAsia"/>
        </w:rPr>
        <w:t>経営成績</w:t>
      </w:r>
      <w:r w:rsidR="00A331BF">
        <w:rPr>
          <w:rFonts w:hint="eastAsia"/>
        </w:rPr>
        <w:t>の赤字</w:t>
      </w:r>
      <w:r w:rsidR="0079537D">
        <w:rPr>
          <w:rFonts w:hint="eastAsia"/>
        </w:rPr>
        <w:t>は</w:t>
      </w:r>
      <w:r w:rsidR="00A331BF">
        <w:rPr>
          <w:rFonts w:hint="eastAsia"/>
        </w:rPr>
        <w:t>貸借対照表の財政状態</w:t>
      </w:r>
      <w:r w:rsidR="0079537D">
        <w:rPr>
          <w:rFonts w:hint="eastAsia"/>
        </w:rPr>
        <w:t>を</w:t>
      </w:r>
      <w:r w:rsidR="00A331BF">
        <w:rPr>
          <w:rFonts w:hint="eastAsia"/>
        </w:rPr>
        <w:t>悪化</w:t>
      </w:r>
      <w:r w:rsidR="0079537D">
        <w:rPr>
          <w:rFonts w:hint="eastAsia"/>
        </w:rPr>
        <w:t>させるため、以下では貸借対照表の財政状態の変化に着目して分析していく。</w:t>
      </w:r>
    </w:p>
    <w:p w14:paraId="4FC6574B" w14:textId="7CD24385" w:rsidR="00BA6333" w:rsidRDefault="00BA6333">
      <w:pPr>
        <w:widowControl/>
        <w:jc w:val="left"/>
      </w:pPr>
      <w:r>
        <w:rPr>
          <w:rFonts w:hint="eastAsia"/>
        </w:rPr>
        <w:lastRenderedPageBreak/>
        <w:t>表</w:t>
      </w:r>
      <w:r w:rsidR="00F64CF9">
        <w:rPr>
          <w:rFonts w:hint="eastAsia"/>
        </w:rPr>
        <w:t>7</w:t>
      </w:r>
      <w:r>
        <w:rPr>
          <w:rFonts w:hint="eastAsia"/>
        </w:rPr>
        <w:t xml:space="preserve">　オリエンタルランド社の損益計算書（四半期）</w:t>
      </w:r>
    </w:p>
    <w:tbl>
      <w:tblPr>
        <w:tblW w:w="0" w:type="auto"/>
        <w:tblInd w:w="-30" w:type="dxa"/>
        <w:tblLayout w:type="fixed"/>
        <w:tblCellMar>
          <w:left w:w="99" w:type="dxa"/>
          <w:right w:w="99" w:type="dxa"/>
        </w:tblCellMar>
        <w:tblLook w:val="0000" w:firstRow="0" w:lastRow="0" w:firstColumn="0" w:lastColumn="0" w:noHBand="0" w:noVBand="0"/>
      </w:tblPr>
      <w:tblGrid>
        <w:gridCol w:w="4195"/>
        <w:gridCol w:w="977"/>
        <w:gridCol w:w="977"/>
        <w:gridCol w:w="977"/>
        <w:gridCol w:w="976"/>
        <w:gridCol w:w="977"/>
        <w:gridCol w:w="977"/>
        <w:gridCol w:w="977"/>
        <w:gridCol w:w="977"/>
        <w:gridCol w:w="976"/>
      </w:tblGrid>
      <w:tr w:rsidR="00AD30B9" w14:paraId="658275BC" w14:textId="77777777" w:rsidTr="00E0409C">
        <w:trPr>
          <w:trHeight w:val="319"/>
        </w:trPr>
        <w:tc>
          <w:tcPr>
            <w:tcW w:w="4195" w:type="dxa"/>
            <w:tcBorders>
              <w:top w:val="single" w:sz="6" w:space="0" w:color="000000"/>
              <w:left w:val="nil"/>
              <w:bottom w:val="single" w:sz="6" w:space="0" w:color="000000"/>
              <w:right w:val="nil"/>
            </w:tcBorders>
          </w:tcPr>
          <w:p w14:paraId="432718AA" w14:textId="77777777" w:rsidR="00AD30B9" w:rsidRDefault="00AD30B9" w:rsidP="00AD30B9">
            <w:pPr>
              <w:autoSpaceDE w:val="0"/>
              <w:autoSpaceDN w:val="0"/>
              <w:adjustRightInd w:val="0"/>
              <w:jc w:val="right"/>
              <w:rPr>
                <w:rFonts w:ascii="Calibri" w:hAnsi="Calibri" w:cs="Calibri"/>
                <w:color w:val="000000"/>
                <w:kern w:val="0"/>
                <w:sz w:val="20"/>
                <w:szCs w:val="20"/>
              </w:rPr>
            </w:pPr>
          </w:p>
        </w:tc>
        <w:tc>
          <w:tcPr>
            <w:tcW w:w="977" w:type="dxa"/>
            <w:tcBorders>
              <w:top w:val="single" w:sz="6" w:space="0" w:color="000000"/>
              <w:left w:val="nil"/>
              <w:bottom w:val="single" w:sz="6" w:space="0" w:color="000000"/>
              <w:right w:val="nil"/>
            </w:tcBorders>
            <w:vAlign w:val="center"/>
          </w:tcPr>
          <w:p w14:paraId="4DEA0620" w14:textId="6EFEBA70" w:rsidR="00AD30B9" w:rsidRPr="00C74F0E" w:rsidRDefault="00AD30B9" w:rsidP="00AD30B9">
            <w:pPr>
              <w:autoSpaceDE w:val="0"/>
              <w:autoSpaceDN w:val="0"/>
              <w:adjustRightInd w:val="0"/>
              <w:jc w:val="center"/>
              <w:rPr>
                <w:rFonts w:ascii="Century" w:hAnsi="Century" w:cs="Arial"/>
                <w:color w:val="000000"/>
                <w:kern w:val="0"/>
                <w:sz w:val="20"/>
                <w:szCs w:val="20"/>
              </w:rPr>
            </w:pPr>
            <w:r w:rsidRPr="00C74F0E">
              <w:rPr>
                <w:rFonts w:ascii="Century" w:eastAsia="ＭＳ Ｐゴシック" w:hAnsi="Century" w:cs="Arial"/>
                <w:b/>
                <w:bCs/>
                <w:color w:val="000000"/>
                <w:kern w:val="0"/>
                <w:sz w:val="20"/>
                <w:szCs w:val="20"/>
              </w:rPr>
              <w:t>19.Q1</w:t>
            </w:r>
          </w:p>
        </w:tc>
        <w:tc>
          <w:tcPr>
            <w:tcW w:w="977" w:type="dxa"/>
            <w:tcBorders>
              <w:top w:val="single" w:sz="6" w:space="0" w:color="000000"/>
              <w:left w:val="nil"/>
              <w:bottom w:val="single" w:sz="6" w:space="0" w:color="000000"/>
              <w:right w:val="nil"/>
            </w:tcBorders>
            <w:vAlign w:val="center"/>
          </w:tcPr>
          <w:p w14:paraId="25F9E7B2" w14:textId="5BD1D0D9" w:rsidR="00AD30B9" w:rsidRPr="00C74F0E" w:rsidRDefault="00AD30B9" w:rsidP="00AD30B9">
            <w:pPr>
              <w:autoSpaceDE w:val="0"/>
              <w:autoSpaceDN w:val="0"/>
              <w:adjustRightInd w:val="0"/>
              <w:jc w:val="center"/>
              <w:rPr>
                <w:rFonts w:ascii="Century" w:hAnsi="Century" w:cs="Arial"/>
                <w:color w:val="000000"/>
                <w:kern w:val="0"/>
                <w:sz w:val="20"/>
                <w:szCs w:val="20"/>
              </w:rPr>
            </w:pPr>
            <w:r w:rsidRPr="00C74F0E">
              <w:rPr>
                <w:rFonts w:ascii="Century" w:eastAsia="ＭＳ Ｐゴシック" w:hAnsi="Century" w:cs="Arial"/>
                <w:b/>
                <w:bCs/>
                <w:color w:val="000000"/>
                <w:kern w:val="0"/>
                <w:sz w:val="20"/>
                <w:szCs w:val="20"/>
              </w:rPr>
              <w:t>19.Q2</w:t>
            </w:r>
          </w:p>
        </w:tc>
        <w:tc>
          <w:tcPr>
            <w:tcW w:w="977" w:type="dxa"/>
            <w:tcBorders>
              <w:top w:val="single" w:sz="6" w:space="0" w:color="000000"/>
              <w:left w:val="nil"/>
              <w:bottom w:val="single" w:sz="6" w:space="0" w:color="000000"/>
              <w:right w:val="nil"/>
            </w:tcBorders>
            <w:vAlign w:val="center"/>
          </w:tcPr>
          <w:p w14:paraId="7F3A6AFB" w14:textId="65E7A263" w:rsidR="00AD30B9" w:rsidRPr="00C74F0E" w:rsidRDefault="00AD30B9" w:rsidP="00AD30B9">
            <w:pPr>
              <w:autoSpaceDE w:val="0"/>
              <w:autoSpaceDN w:val="0"/>
              <w:adjustRightInd w:val="0"/>
              <w:jc w:val="center"/>
              <w:rPr>
                <w:rFonts w:ascii="Century" w:hAnsi="Century" w:cs="Arial"/>
                <w:color w:val="000000"/>
                <w:kern w:val="0"/>
                <w:sz w:val="20"/>
                <w:szCs w:val="20"/>
              </w:rPr>
            </w:pPr>
            <w:r w:rsidRPr="00C74F0E">
              <w:rPr>
                <w:rFonts w:ascii="Century" w:eastAsia="ＭＳ Ｐゴシック" w:hAnsi="Century" w:cs="Arial"/>
                <w:b/>
                <w:bCs/>
                <w:color w:val="000000"/>
                <w:kern w:val="0"/>
                <w:sz w:val="20"/>
                <w:szCs w:val="20"/>
              </w:rPr>
              <w:t>19.Q3</w:t>
            </w:r>
          </w:p>
        </w:tc>
        <w:tc>
          <w:tcPr>
            <w:tcW w:w="976" w:type="dxa"/>
            <w:tcBorders>
              <w:top w:val="single" w:sz="6" w:space="0" w:color="000000"/>
              <w:left w:val="nil"/>
              <w:bottom w:val="single" w:sz="6" w:space="0" w:color="000000"/>
              <w:right w:val="nil"/>
            </w:tcBorders>
            <w:vAlign w:val="center"/>
          </w:tcPr>
          <w:p w14:paraId="7F271EC8" w14:textId="74E5C769" w:rsidR="00AD30B9" w:rsidRPr="00C74F0E" w:rsidRDefault="00AD30B9" w:rsidP="00AD30B9">
            <w:pPr>
              <w:autoSpaceDE w:val="0"/>
              <w:autoSpaceDN w:val="0"/>
              <w:adjustRightInd w:val="0"/>
              <w:jc w:val="center"/>
              <w:rPr>
                <w:rFonts w:ascii="Century" w:hAnsi="Century" w:cs="Arial"/>
                <w:color w:val="000000"/>
                <w:kern w:val="0"/>
                <w:sz w:val="20"/>
                <w:szCs w:val="20"/>
              </w:rPr>
            </w:pPr>
            <w:r w:rsidRPr="00C74F0E">
              <w:rPr>
                <w:rFonts w:ascii="Century" w:eastAsia="ＭＳ Ｐゴシック" w:hAnsi="Century" w:cs="Arial"/>
                <w:b/>
                <w:bCs/>
                <w:color w:val="000000"/>
                <w:kern w:val="0"/>
                <w:sz w:val="20"/>
                <w:szCs w:val="20"/>
              </w:rPr>
              <w:t>19.Q4</w:t>
            </w:r>
          </w:p>
        </w:tc>
        <w:tc>
          <w:tcPr>
            <w:tcW w:w="977" w:type="dxa"/>
            <w:tcBorders>
              <w:top w:val="single" w:sz="6" w:space="0" w:color="000000"/>
              <w:left w:val="nil"/>
              <w:bottom w:val="single" w:sz="6" w:space="0" w:color="000000"/>
              <w:right w:val="nil"/>
            </w:tcBorders>
            <w:vAlign w:val="center"/>
          </w:tcPr>
          <w:p w14:paraId="1AD4EBC0" w14:textId="19A219CE" w:rsidR="00AD30B9" w:rsidRPr="00C74F0E" w:rsidRDefault="00AD30B9" w:rsidP="00AD30B9">
            <w:pPr>
              <w:autoSpaceDE w:val="0"/>
              <w:autoSpaceDN w:val="0"/>
              <w:adjustRightInd w:val="0"/>
              <w:jc w:val="center"/>
              <w:rPr>
                <w:rFonts w:ascii="Century" w:hAnsi="Century" w:cs="Arial"/>
                <w:color w:val="000000"/>
                <w:kern w:val="0"/>
                <w:sz w:val="20"/>
                <w:szCs w:val="20"/>
              </w:rPr>
            </w:pPr>
            <w:r w:rsidRPr="00C74F0E">
              <w:rPr>
                <w:rFonts w:ascii="Century" w:eastAsia="ＭＳ Ｐゴシック" w:hAnsi="Century" w:cs="Arial"/>
                <w:b/>
                <w:bCs/>
                <w:color w:val="000000"/>
                <w:kern w:val="0"/>
                <w:sz w:val="20"/>
                <w:szCs w:val="20"/>
              </w:rPr>
              <w:t>20.Q1</w:t>
            </w:r>
          </w:p>
        </w:tc>
        <w:tc>
          <w:tcPr>
            <w:tcW w:w="977" w:type="dxa"/>
            <w:tcBorders>
              <w:top w:val="single" w:sz="6" w:space="0" w:color="000000"/>
              <w:left w:val="nil"/>
              <w:bottom w:val="single" w:sz="6" w:space="0" w:color="000000"/>
              <w:right w:val="nil"/>
            </w:tcBorders>
            <w:vAlign w:val="center"/>
          </w:tcPr>
          <w:p w14:paraId="7564D96C" w14:textId="689DB3D7" w:rsidR="00AD30B9" w:rsidRPr="00C74F0E" w:rsidRDefault="00AD30B9" w:rsidP="00AD30B9">
            <w:pPr>
              <w:autoSpaceDE w:val="0"/>
              <w:autoSpaceDN w:val="0"/>
              <w:adjustRightInd w:val="0"/>
              <w:jc w:val="center"/>
              <w:rPr>
                <w:rFonts w:ascii="Century" w:hAnsi="Century" w:cs="Arial"/>
                <w:color w:val="000000"/>
                <w:kern w:val="0"/>
                <w:sz w:val="20"/>
                <w:szCs w:val="20"/>
              </w:rPr>
            </w:pPr>
            <w:r w:rsidRPr="00C74F0E">
              <w:rPr>
                <w:rFonts w:ascii="Century" w:eastAsia="ＭＳ Ｐゴシック" w:hAnsi="Century" w:cs="Arial"/>
                <w:b/>
                <w:bCs/>
                <w:color w:val="000000"/>
                <w:kern w:val="0"/>
                <w:sz w:val="20"/>
                <w:szCs w:val="20"/>
              </w:rPr>
              <w:t>20.Q2</w:t>
            </w:r>
          </w:p>
        </w:tc>
        <w:tc>
          <w:tcPr>
            <w:tcW w:w="977" w:type="dxa"/>
            <w:tcBorders>
              <w:top w:val="single" w:sz="6" w:space="0" w:color="000000"/>
              <w:left w:val="nil"/>
              <w:bottom w:val="single" w:sz="6" w:space="0" w:color="000000"/>
              <w:right w:val="nil"/>
            </w:tcBorders>
            <w:vAlign w:val="center"/>
          </w:tcPr>
          <w:p w14:paraId="38F5F8AC" w14:textId="4C05AB72" w:rsidR="00AD30B9" w:rsidRPr="00C74F0E" w:rsidRDefault="00AD30B9" w:rsidP="00AD30B9">
            <w:pPr>
              <w:autoSpaceDE w:val="0"/>
              <w:autoSpaceDN w:val="0"/>
              <w:adjustRightInd w:val="0"/>
              <w:jc w:val="center"/>
              <w:rPr>
                <w:rFonts w:ascii="Century" w:hAnsi="Century" w:cs="Arial"/>
                <w:color w:val="000000"/>
                <w:kern w:val="0"/>
                <w:sz w:val="20"/>
                <w:szCs w:val="20"/>
              </w:rPr>
            </w:pPr>
            <w:r w:rsidRPr="00C74F0E">
              <w:rPr>
                <w:rFonts w:ascii="Century" w:eastAsia="ＭＳ Ｐゴシック" w:hAnsi="Century" w:cs="Arial"/>
                <w:b/>
                <w:bCs/>
                <w:color w:val="000000"/>
                <w:kern w:val="0"/>
                <w:sz w:val="20"/>
                <w:szCs w:val="20"/>
              </w:rPr>
              <w:t>20.Q3</w:t>
            </w:r>
          </w:p>
        </w:tc>
        <w:tc>
          <w:tcPr>
            <w:tcW w:w="977" w:type="dxa"/>
            <w:tcBorders>
              <w:top w:val="single" w:sz="6" w:space="0" w:color="000000"/>
              <w:left w:val="nil"/>
              <w:bottom w:val="single" w:sz="6" w:space="0" w:color="000000"/>
              <w:right w:val="nil"/>
            </w:tcBorders>
            <w:vAlign w:val="center"/>
          </w:tcPr>
          <w:p w14:paraId="4F51C2D0" w14:textId="59007DDB" w:rsidR="00AD30B9" w:rsidRPr="00C74F0E" w:rsidRDefault="00AD30B9" w:rsidP="00AD30B9">
            <w:pPr>
              <w:autoSpaceDE w:val="0"/>
              <w:autoSpaceDN w:val="0"/>
              <w:adjustRightInd w:val="0"/>
              <w:jc w:val="center"/>
              <w:rPr>
                <w:rFonts w:ascii="Century" w:hAnsi="Century" w:cs="Arial"/>
                <w:color w:val="000000"/>
                <w:kern w:val="0"/>
                <w:sz w:val="20"/>
                <w:szCs w:val="20"/>
              </w:rPr>
            </w:pPr>
            <w:r w:rsidRPr="00C74F0E">
              <w:rPr>
                <w:rFonts w:ascii="Century" w:eastAsia="ＭＳ Ｐゴシック" w:hAnsi="Century" w:cs="Arial"/>
                <w:b/>
                <w:bCs/>
                <w:color w:val="000000"/>
                <w:kern w:val="0"/>
                <w:sz w:val="20"/>
                <w:szCs w:val="20"/>
              </w:rPr>
              <w:t>20.Q4</w:t>
            </w:r>
          </w:p>
        </w:tc>
        <w:tc>
          <w:tcPr>
            <w:tcW w:w="976" w:type="dxa"/>
            <w:tcBorders>
              <w:top w:val="single" w:sz="6" w:space="0" w:color="000000"/>
              <w:left w:val="nil"/>
              <w:bottom w:val="single" w:sz="6" w:space="0" w:color="000000"/>
              <w:right w:val="nil"/>
            </w:tcBorders>
            <w:vAlign w:val="center"/>
          </w:tcPr>
          <w:p w14:paraId="0EAB87B9" w14:textId="450AC458" w:rsidR="00AD30B9" w:rsidRPr="00C74F0E" w:rsidRDefault="00AD30B9" w:rsidP="00AD30B9">
            <w:pPr>
              <w:autoSpaceDE w:val="0"/>
              <w:autoSpaceDN w:val="0"/>
              <w:adjustRightInd w:val="0"/>
              <w:jc w:val="center"/>
              <w:rPr>
                <w:rFonts w:ascii="Century" w:hAnsi="Century" w:cs="Arial"/>
                <w:color w:val="000000"/>
                <w:kern w:val="0"/>
                <w:sz w:val="20"/>
                <w:szCs w:val="20"/>
              </w:rPr>
            </w:pPr>
            <w:r w:rsidRPr="00C74F0E">
              <w:rPr>
                <w:rFonts w:ascii="Century" w:eastAsia="ＭＳ Ｐゴシック" w:hAnsi="Century" w:cs="Arial"/>
                <w:b/>
                <w:bCs/>
                <w:color w:val="000000"/>
                <w:kern w:val="0"/>
                <w:sz w:val="20"/>
                <w:szCs w:val="20"/>
              </w:rPr>
              <w:t>21.Q1</w:t>
            </w:r>
          </w:p>
        </w:tc>
      </w:tr>
      <w:tr w:rsidR="00BA6333" w14:paraId="35EA6A78" w14:textId="77777777" w:rsidTr="00BA6333">
        <w:trPr>
          <w:trHeight w:val="319"/>
        </w:trPr>
        <w:tc>
          <w:tcPr>
            <w:tcW w:w="4195" w:type="dxa"/>
            <w:tcBorders>
              <w:top w:val="nil"/>
              <w:left w:val="nil"/>
              <w:bottom w:val="nil"/>
              <w:right w:val="nil"/>
            </w:tcBorders>
          </w:tcPr>
          <w:p w14:paraId="58EB899B" w14:textId="77777777" w:rsidR="00BA6333" w:rsidRPr="00C01BB9" w:rsidRDefault="00BA6333">
            <w:pPr>
              <w:autoSpaceDE w:val="0"/>
              <w:autoSpaceDN w:val="0"/>
              <w:adjustRightInd w:val="0"/>
              <w:jc w:val="left"/>
              <w:rPr>
                <w:rFonts w:asciiTheme="minorEastAsia" w:hAnsiTheme="minorEastAsia" w:cs="Calibri"/>
                <w:color w:val="000000"/>
                <w:kern w:val="0"/>
                <w:sz w:val="20"/>
                <w:szCs w:val="20"/>
              </w:rPr>
            </w:pPr>
            <w:r w:rsidRPr="00C01BB9">
              <w:rPr>
                <w:rFonts w:asciiTheme="minorEastAsia" w:hAnsiTheme="minorEastAsia" w:cs="Calibri"/>
                <w:color w:val="000000"/>
                <w:kern w:val="0"/>
                <w:sz w:val="20"/>
                <w:szCs w:val="20"/>
              </w:rPr>
              <w:t>損益計算書</w:t>
            </w:r>
          </w:p>
        </w:tc>
        <w:tc>
          <w:tcPr>
            <w:tcW w:w="977" w:type="dxa"/>
            <w:tcBorders>
              <w:top w:val="nil"/>
              <w:left w:val="nil"/>
              <w:bottom w:val="nil"/>
              <w:right w:val="nil"/>
            </w:tcBorders>
          </w:tcPr>
          <w:p w14:paraId="5F0AF71E" w14:textId="77777777" w:rsidR="00BA6333" w:rsidRPr="00C74F0E" w:rsidRDefault="00BA6333">
            <w:pPr>
              <w:autoSpaceDE w:val="0"/>
              <w:autoSpaceDN w:val="0"/>
              <w:adjustRightInd w:val="0"/>
              <w:jc w:val="right"/>
              <w:rPr>
                <w:rFonts w:ascii="Century" w:hAnsi="Century" w:cs="Arial"/>
                <w:color w:val="000000"/>
                <w:kern w:val="0"/>
                <w:sz w:val="20"/>
                <w:szCs w:val="20"/>
              </w:rPr>
            </w:pPr>
          </w:p>
        </w:tc>
        <w:tc>
          <w:tcPr>
            <w:tcW w:w="977" w:type="dxa"/>
            <w:tcBorders>
              <w:top w:val="nil"/>
              <w:left w:val="nil"/>
              <w:bottom w:val="nil"/>
              <w:right w:val="nil"/>
            </w:tcBorders>
          </w:tcPr>
          <w:p w14:paraId="42B724BF" w14:textId="77777777" w:rsidR="00BA6333" w:rsidRPr="00C74F0E" w:rsidRDefault="00BA6333">
            <w:pPr>
              <w:autoSpaceDE w:val="0"/>
              <w:autoSpaceDN w:val="0"/>
              <w:adjustRightInd w:val="0"/>
              <w:jc w:val="right"/>
              <w:rPr>
                <w:rFonts w:ascii="Century" w:hAnsi="Century" w:cs="Arial"/>
                <w:color w:val="000000"/>
                <w:kern w:val="0"/>
                <w:sz w:val="20"/>
                <w:szCs w:val="20"/>
              </w:rPr>
            </w:pPr>
          </w:p>
        </w:tc>
        <w:tc>
          <w:tcPr>
            <w:tcW w:w="977" w:type="dxa"/>
            <w:tcBorders>
              <w:top w:val="nil"/>
              <w:left w:val="nil"/>
              <w:bottom w:val="nil"/>
              <w:right w:val="nil"/>
            </w:tcBorders>
          </w:tcPr>
          <w:p w14:paraId="07098DFB" w14:textId="77777777" w:rsidR="00BA6333" w:rsidRPr="00C74F0E" w:rsidRDefault="00BA6333">
            <w:pPr>
              <w:autoSpaceDE w:val="0"/>
              <w:autoSpaceDN w:val="0"/>
              <w:adjustRightInd w:val="0"/>
              <w:jc w:val="right"/>
              <w:rPr>
                <w:rFonts w:ascii="Century" w:hAnsi="Century" w:cs="Arial"/>
                <w:color w:val="000000"/>
                <w:kern w:val="0"/>
                <w:sz w:val="20"/>
                <w:szCs w:val="20"/>
              </w:rPr>
            </w:pPr>
          </w:p>
        </w:tc>
        <w:tc>
          <w:tcPr>
            <w:tcW w:w="976" w:type="dxa"/>
            <w:tcBorders>
              <w:top w:val="nil"/>
              <w:left w:val="nil"/>
              <w:bottom w:val="nil"/>
              <w:right w:val="nil"/>
            </w:tcBorders>
          </w:tcPr>
          <w:p w14:paraId="14987A74" w14:textId="77777777" w:rsidR="00BA6333" w:rsidRPr="00C74F0E" w:rsidRDefault="00BA6333">
            <w:pPr>
              <w:autoSpaceDE w:val="0"/>
              <w:autoSpaceDN w:val="0"/>
              <w:adjustRightInd w:val="0"/>
              <w:jc w:val="right"/>
              <w:rPr>
                <w:rFonts w:ascii="Century" w:hAnsi="Century" w:cs="Arial"/>
                <w:color w:val="000000"/>
                <w:kern w:val="0"/>
                <w:sz w:val="20"/>
                <w:szCs w:val="20"/>
              </w:rPr>
            </w:pPr>
          </w:p>
        </w:tc>
        <w:tc>
          <w:tcPr>
            <w:tcW w:w="977" w:type="dxa"/>
            <w:tcBorders>
              <w:top w:val="nil"/>
              <w:left w:val="nil"/>
              <w:bottom w:val="nil"/>
              <w:right w:val="nil"/>
            </w:tcBorders>
          </w:tcPr>
          <w:p w14:paraId="389E6452" w14:textId="77777777" w:rsidR="00BA6333" w:rsidRPr="00C74F0E" w:rsidRDefault="00BA6333">
            <w:pPr>
              <w:autoSpaceDE w:val="0"/>
              <w:autoSpaceDN w:val="0"/>
              <w:adjustRightInd w:val="0"/>
              <w:jc w:val="right"/>
              <w:rPr>
                <w:rFonts w:ascii="Century" w:hAnsi="Century" w:cs="Arial"/>
                <w:color w:val="000000"/>
                <w:kern w:val="0"/>
                <w:sz w:val="20"/>
                <w:szCs w:val="20"/>
              </w:rPr>
            </w:pPr>
          </w:p>
        </w:tc>
        <w:tc>
          <w:tcPr>
            <w:tcW w:w="977" w:type="dxa"/>
            <w:tcBorders>
              <w:top w:val="nil"/>
              <w:left w:val="nil"/>
              <w:bottom w:val="nil"/>
              <w:right w:val="nil"/>
            </w:tcBorders>
          </w:tcPr>
          <w:p w14:paraId="2F7B6FC3" w14:textId="77777777" w:rsidR="00BA6333" w:rsidRPr="00C74F0E" w:rsidRDefault="00BA6333">
            <w:pPr>
              <w:autoSpaceDE w:val="0"/>
              <w:autoSpaceDN w:val="0"/>
              <w:adjustRightInd w:val="0"/>
              <w:jc w:val="right"/>
              <w:rPr>
                <w:rFonts w:ascii="Century" w:hAnsi="Century" w:cs="Arial"/>
                <w:color w:val="000000"/>
                <w:kern w:val="0"/>
                <w:sz w:val="20"/>
                <w:szCs w:val="20"/>
              </w:rPr>
            </w:pPr>
          </w:p>
        </w:tc>
        <w:tc>
          <w:tcPr>
            <w:tcW w:w="977" w:type="dxa"/>
            <w:tcBorders>
              <w:top w:val="nil"/>
              <w:left w:val="nil"/>
              <w:bottom w:val="nil"/>
              <w:right w:val="nil"/>
            </w:tcBorders>
          </w:tcPr>
          <w:p w14:paraId="2D7B5ABE" w14:textId="77777777" w:rsidR="00BA6333" w:rsidRPr="00C74F0E" w:rsidRDefault="00BA6333">
            <w:pPr>
              <w:autoSpaceDE w:val="0"/>
              <w:autoSpaceDN w:val="0"/>
              <w:adjustRightInd w:val="0"/>
              <w:jc w:val="right"/>
              <w:rPr>
                <w:rFonts w:ascii="Century" w:hAnsi="Century" w:cs="Arial"/>
                <w:color w:val="000000"/>
                <w:kern w:val="0"/>
                <w:sz w:val="20"/>
                <w:szCs w:val="20"/>
              </w:rPr>
            </w:pPr>
          </w:p>
        </w:tc>
        <w:tc>
          <w:tcPr>
            <w:tcW w:w="977" w:type="dxa"/>
            <w:tcBorders>
              <w:top w:val="nil"/>
              <w:left w:val="nil"/>
              <w:bottom w:val="nil"/>
              <w:right w:val="nil"/>
            </w:tcBorders>
          </w:tcPr>
          <w:p w14:paraId="7054E8C3" w14:textId="77777777" w:rsidR="00BA6333" w:rsidRPr="00C74F0E" w:rsidRDefault="00BA6333">
            <w:pPr>
              <w:autoSpaceDE w:val="0"/>
              <w:autoSpaceDN w:val="0"/>
              <w:adjustRightInd w:val="0"/>
              <w:jc w:val="right"/>
              <w:rPr>
                <w:rFonts w:ascii="Century" w:hAnsi="Century" w:cs="Arial"/>
                <w:color w:val="000000"/>
                <w:kern w:val="0"/>
                <w:sz w:val="20"/>
                <w:szCs w:val="20"/>
              </w:rPr>
            </w:pPr>
          </w:p>
        </w:tc>
        <w:tc>
          <w:tcPr>
            <w:tcW w:w="976" w:type="dxa"/>
            <w:tcBorders>
              <w:top w:val="nil"/>
              <w:left w:val="nil"/>
              <w:bottom w:val="nil"/>
              <w:right w:val="nil"/>
            </w:tcBorders>
          </w:tcPr>
          <w:p w14:paraId="04727475" w14:textId="77777777" w:rsidR="00BA6333" w:rsidRPr="00C74F0E" w:rsidRDefault="00BA6333">
            <w:pPr>
              <w:autoSpaceDE w:val="0"/>
              <w:autoSpaceDN w:val="0"/>
              <w:adjustRightInd w:val="0"/>
              <w:jc w:val="right"/>
              <w:rPr>
                <w:rFonts w:ascii="Century" w:hAnsi="Century" w:cs="Arial"/>
                <w:color w:val="000000"/>
                <w:kern w:val="0"/>
                <w:sz w:val="20"/>
                <w:szCs w:val="20"/>
              </w:rPr>
            </w:pPr>
          </w:p>
        </w:tc>
      </w:tr>
      <w:tr w:rsidR="00BA6333" w14:paraId="298BE1B7" w14:textId="77777777" w:rsidTr="00BA6333">
        <w:trPr>
          <w:trHeight w:val="319"/>
        </w:trPr>
        <w:tc>
          <w:tcPr>
            <w:tcW w:w="4195" w:type="dxa"/>
            <w:tcBorders>
              <w:top w:val="nil"/>
              <w:left w:val="nil"/>
              <w:bottom w:val="nil"/>
              <w:right w:val="nil"/>
            </w:tcBorders>
          </w:tcPr>
          <w:p w14:paraId="7D035FBF" w14:textId="77777777" w:rsidR="00BA6333" w:rsidRPr="00C01BB9" w:rsidRDefault="00BA6333">
            <w:pPr>
              <w:autoSpaceDE w:val="0"/>
              <w:autoSpaceDN w:val="0"/>
              <w:adjustRightInd w:val="0"/>
              <w:jc w:val="left"/>
              <w:rPr>
                <w:rFonts w:asciiTheme="minorEastAsia" w:hAnsiTheme="minorEastAsia" w:cs="Calibri"/>
                <w:color w:val="000000"/>
                <w:kern w:val="0"/>
                <w:sz w:val="20"/>
                <w:szCs w:val="20"/>
              </w:rPr>
            </w:pPr>
            <w:r w:rsidRPr="00C01BB9">
              <w:rPr>
                <w:rFonts w:asciiTheme="minorEastAsia" w:hAnsiTheme="minorEastAsia" w:cs="Calibri"/>
                <w:color w:val="000000"/>
                <w:kern w:val="0"/>
                <w:sz w:val="20"/>
                <w:szCs w:val="20"/>
              </w:rPr>
              <w:t>売上高</w:t>
            </w:r>
          </w:p>
        </w:tc>
        <w:tc>
          <w:tcPr>
            <w:tcW w:w="977" w:type="dxa"/>
            <w:tcBorders>
              <w:top w:val="nil"/>
              <w:left w:val="nil"/>
              <w:bottom w:val="nil"/>
              <w:right w:val="nil"/>
            </w:tcBorders>
          </w:tcPr>
          <w:p w14:paraId="057D20A5"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120,746</w:t>
            </w:r>
          </w:p>
        </w:tc>
        <w:tc>
          <w:tcPr>
            <w:tcW w:w="977" w:type="dxa"/>
            <w:tcBorders>
              <w:top w:val="nil"/>
              <w:left w:val="nil"/>
              <w:bottom w:val="nil"/>
              <w:right w:val="nil"/>
            </w:tcBorders>
          </w:tcPr>
          <w:p w14:paraId="2C5A0FF7"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129,945</w:t>
            </w:r>
          </w:p>
        </w:tc>
        <w:tc>
          <w:tcPr>
            <w:tcW w:w="977" w:type="dxa"/>
            <w:tcBorders>
              <w:top w:val="nil"/>
              <w:left w:val="nil"/>
              <w:bottom w:val="nil"/>
              <w:right w:val="nil"/>
            </w:tcBorders>
          </w:tcPr>
          <w:p w14:paraId="16234F26"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148,950</w:t>
            </w:r>
          </w:p>
        </w:tc>
        <w:tc>
          <w:tcPr>
            <w:tcW w:w="976" w:type="dxa"/>
            <w:tcBorders>
              <w:top w:val="nil"/>
              <w:left w:val="nil"/>
              <w:bottom w:val="nil"/>
              <w:right w:val="nil"/>
            </w:tcBorders>
          </w:tcPr>
          <w:p w14:paraId="63A0252B"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125,981</w:t>
            </w:r>
          </w:p>
        </w:tc>
        <w:tc>
          <w:tcPr>
            <w:tcW w:w="977" w:type="dxa"/>
            <w:tcBorders>
              <w:top w:val="nil"/>
              <w:left w:val="nil"/>
              <w:bottom w:val="nil"/>
              <w:right w:val="nil"/>
            </w:tcBorders>
          </w:tcPr>
          <w:p w14:paraId="11BEBD96"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120,552</w:t>
            </w:r>
          </w:p>
        </w:tc>
        <w:tc>
          <w:tcPr>
            <w:tcW w:w="977" w:type="dxa"/>
            <w:tcBorders>
              <w:top w:val="nil"/>
              <w:left w:val="nil"/>
              <w:bottom w:val="nil"/>
              <w:right w:val="nil"/>
            </w:tcBorders>
          </w:tcPr>
          <w:p w14:paraId="5D7BEA99"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127,876</w:t>
            </w:r>
          </w:p>
        </w:tc>
        <w:tc>
          <w:tcPr>
            <w:tcW w:w="977" w:type="dxa"/>
            <w:tcBorders>
              <w:top w:val="nil"/>
              <w:left w:val="nil"/>
              <w:bottom w:val="nil"/>
              <w:right w:val="nil"/>
            </w:tcBorders>
          </w:tcPr>
          <w:p w14:paraId="75E3D7E1"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141,777</w:t>
            </w:r>
          </w:p>
        </w:tc>
        <w:tc>
          <w:tcPr>
            <w:tcW w:w="977" w:type="dxa"/>
            <w:tcBorders>
              <w:top w:val="nil"/>
              <w:left w:val="nil"/>
              <w:bottom w:val="nil"/>
              <w:right w:val="nil"/>
            </w:tcBorders>
          </w:tcPr>
          <w:p w14:paraId="40DDCCF2"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74,245</w:t>
            </w:r>
          </w:p>
        </w:tc>
        <w:tc>
          <w:tcPr>
            <w:tcW w:w="976" w:type="dxa"/>
            <w:tcBorders>
              <w:top w:val="nil"/>
              <w:left w:val="nil"/>
              <w:bottom w:val="nil"/>
              <w:right w:val="nil"/>
            </w:tcBorders>
          </w:tcPr>
          <w:p w14:paraId="180C43A5"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6,164</w:t>
            </w:r>
          </w:p>
        </w:tc>
      </w:tr>
      <w:tr w:rsidR="00BA6333" w14:paraId="2ECD4ABD" w14:textId="77777777" w:rsidTr="00BA6333">
        <w:trPr>
          <w:trHeight w:val="319"/>
        </w:trPr>
        <w:tc>
          <w:tcPr>
            <w:tcW w:w="4195" w:type="dxa"/>
            <w:tcBorders>
              <w:top w:val="nil"/>
              <w:left w:val="nil"/>
              <w:bottom w:val="nil"/>
              <w:right w:val="nil"/>
            </w:tcBorders>
          </w:tcPr>
          <w:p w14:paraId="765EFBF9" w14:textId="77777777" w:rsidR="00BA6333" w:rsidRPr="00C01BB9" w:rsidRDefault="00BA6333" w:rsidP="001D30E8">
            <w:pPr>
              <w:autoSpaceDE w:val="0"/>
              <w:autoSpaceDN w:val="0"/>
              <w:adjustRightInd w:val="0"/>
              <w:ind w:firstLineChars="100" w:firstLine="200"/>
              <w:jc w:val="left"/>
              <w:rPr>
                <w:rFonts w:asciiTheme="minorEastAsia" w:hAnsiTheme="minorEastAsia" w:cs="Calibri"/>
                <w:color w:val="000000"/>
                <w:kern w:val="0"/>
                <w:sz w:val="20"/>
                <w:szCs w:val="20"/>
              </w:rPr>
            </w:pPr>
            <w:r w:rsidRPr="00C01BB9">
              <w:rPr>
                <w:rFonts w:asciiTheme="minorEastAsia" w:hAnsiTheme="minorEastAsia" w:cs="Calibri"/>
                <w:color w:val="000000"/>
                <w:kern w:val="0"/>
                <w:sz w:val="20"/>
                <w:szCs w:val="20"/>
              </w:rPr>
              <w:t>売上原価</w:t>
            </w:r>
          </w:p>
        </w:tc>
        <w:tc>
          <w:tcPr>
            <w:tcW w:w="977" w:type="dxa"/>
            <w:tcBorders>
              <w:top w:val="nil"/>
              <w:left w:val="nil"/>
              <w:bottom w:val="nil"/>
              <w:right w:val="nil"/>
            </w:tcBorders>
          </w:tcPr>
          <w:p w14:paraId="34F57F23"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-74,483</w:t>
            </w:r>
          </w:p>
        </w:tc>
        <w:tc>
          <w:tcPr>
            <w:tcW w:w="977" w:type="dxa"/>
            <w:tcBorders>
              <w:top w:val="nil"/>
              <w:left w:val="nil"/>
              <w:bottom w:val="nil"/>
              <w:right w:val="nil"/>
            </w:tcBorders>
          </w:tcPr>
          <w:p w14:paraId="491B28F9"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-80,035</w:t>
            </w:r>
          </w:p>
        </w:tc>
        <w:tc>
          <w:tcPr>
            <w:tcW w:w="977" w:type="dxa"/>
            <w:tcBorders>
              <w:top w:val="nil"/>
              <w:left w:val="nil"/>
              <w:bottom w:val="nil"/>
              <w:right w:val="nil"/>
            </w:tcBorders>
          </w:tcPr>
          <w:p w14:paraId="31FFA855"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-86,225</w:t>
            </w:r>
          </w:p>
        </w:tc>
        <w:tc>
          <w:tcPr>
            <w:tcW w:w="976" w:type="dxa"/>
            <w:tcBorders>
              <w:top w:val="nil"/>
              <w:left w:val="nil"/>
              <w:bottom w:val="nil"/>
              <w:right w:val="nil"/>
            </w:tcBorders>
          </w:tcPr>
          <w:p w14:paraId="37E9907B"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-85,540</w:t>
            </w:r>
          </w:p>
        </w:tc>
        <w:tc>
          <w:tcPr>
            <w:tcW w:w="977" w:type="dxa"/>
            <w:tcBorders>
              <w:top w:val="nil"/>
              <w:left w:val="nil"/>
              <w:bottom w:val="nil"/>
              <w:right w:val="nil"/>
            </w:tcBorders>
          </w:tcPr>
          <w:p w14:paraId="1658A317"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-72,269</w:t>
            </w:r>
          </w:p>
        </w:tc>
        <w:tc>
          <w:tcPr>
            <w:tcW w:w="977" w:type="dxa"/>
            <w:tcBorders>
              <w:top w:val="nil"/>
              <w:left w:val="nil"/>
              <w:bottom w:val="nil"/>
              <w:right w:val="nil"/>
            </w:tcBorders>
          </w:tcPr>
          <w:p w14:paraId="61756C1D"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-81,018</w:t>
            </w:r>
          </w:p>
        </w:tc>
        <w:tc>
          <w:tcPr>
            <w:tcW w:w="977" w:type="dxa"/>
            <w:tcBorders>
              <w:top w:val="nil"/>
              <w:left w:val="nil"/>
              <w:bottom w:val="nil"/>
              <w:right w:val="nil"/>
            </w:tcBorders>
          </w:tcPr>
          <w:p w14:paraId="70C18EAA"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-84,599</w:t>
            </w:r>
          </w:p>
        </w:tc>
        <w:tc>
          <w:tcPr>
            <w:tcW w:w="977" w:type="dxa"/>
            <w:tcBorders>
              <w:top w:val="nil"/>
              <w:left w:val="nil"/>
              <w:bottom w:val="nil"/>
              <w:right w:val="nil"/>
            </w:tcBorders>
          </w:tcPr>
          <w:p w14:paraId="4C8B12CF"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-62,715</w:t>
            </w:r>
          </w:p>
        </w:tc>
        <w:tc>
          <w:tcPr>
            <w:tcW w:w="976" w:type="dxa"/>
            <w:tcBorders>
              <w:top w:val="nil"/>
              <w:left w:val="nil"/>
              <w:bottom w:val="nil"/>
              <w:right w:val="nil"/>
            </w:tcBorders>
          </w:tcPr>
          <w:p w14:paraId="0E5D5D34"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-12,963</w:t>
            </w:r>
          </w:p>
        </w:tc>
      </w:tr>
      <w:tr w:rsidR="00BA6333" w14:paraId="2AE5B38C" w14:textId="77777777" w:rsidTr="00BA6333">
        <w:trPr>
          <w:trHeight w:val="319"/>
        </w:trPr>
        <w:tc>
          <w:tcPr>
            <w:tcW w:w="4195" w:type="dxa"/>
            <w:tcBorders>
              <w:top w:val="nil"/>
              <w:left w:val="nil"/>
              <w:bottom w:val="nil"/>
              <w:right w:val="nil"/>
            </w:tcBorders>
          </w:tcPr>
          <w:p w14:paraId="14B90D01" w14:textId="77777777" w:rsidR="00BA6333" w:rsidRPr="00C01BB9" w:rsidRDefault="00BA6333">
            <w:pPr>
              <w:autoSpaceDE w:val="0"/>
              <w:autoSpaceDN w:val="0"/>
              <w:adjustRightInd w:val="0"/>
              <w:jc w:val="left"/>
              <w:rPr>
                <w:rFonts w:asciiTheme="minorEastAsia" w:hAnsiTheme="minorEastAsia" w:cs="Calibri"/>
                <w:color w:val="000000"/>
                <w:kern w:val="0"/>
                <w:sz w:val="20"/>
                <w:szCs w:val="20"/>
              </w:rPr>
            </w:pPr>
            <w:r w:rsidRPr="00C01BB9">
              <w:rPr>
                <w:rFonts w:asciiTheme="minorEastAsia" w:hAnsiTheme="minorEastAsia" w:cs="Calibri"/>
                <w:color w:val="000000"/>
                <w:kern w:val="0"/>
                <w:sz w:val="20"/>
                <w:szCs w:val="20"/>
              </w:rPr>
              <w:t>売上総利益</w:t>
            </w:r>
          </w:p>
        </w:tc>
        <w:tc>
          <w:tcPr>
            <w:tcW w:w="977" w:type="dxa"/>
            <w:tcBorders>
              <w:top w:val="nil"/>
              <w:left w:val="nil"/>
              <w:bottom w:val="nil"/>
              <w:right w:val="nil"/>
            </w:tcBorders>
          </w:tcPr>
          <w:p w14:paraId="1A3498C3"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46,263</w:t>
            </w:r>
          </w:p>
        </w:tc>
        <w:tc>
          <w:tcPr>
            <w:tcW w:w="977" w:type="dxa"/>
            <w:tcBorders>
              <w:top w:val="nil"/>
              <w:left w:val="nil"/>
              <w:bottom w:val="nil"/>
              <w:right w:val="nil"/>
            </w:tcBorders>
          </w:tcPr>
          <w:p w14:paraId="6ED5298F"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49,910</w:t>
            </w:r>
          </w:p>
        </w:tc>
        <w:tc>
          <w:tcPr>
            <w:tcW w:w="977" w:type="dxa"/>
            <w:tcBorders>
              <w:top w:val="nil"/>
              <w:left w:val="nil"/>
              <w:bottom w:val="nil"/>
              <w:right w:val="nil"/>
            </w:tcBorders>
          </w:tcPr>
          <w:p w14:paraId="02A8400D"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62,725</w:t>
            </w:r>
          </w:p>
        </w:tc>
        <w:tc>
          <w:tcPr>
            <w:tcW w:w="976" w:type="dxa"/>
            <w:tcBorders>
              <w:top w:val="nil"/>
              <w:left w:val="nil"/>
              <w:bottom w:val="nil"/>
              <w:right w:val="nil"/>
            </w:tcBorders>
          </w:tcPr>
          <w:p w14:paraId="0BADD1D2"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40,441</w:t>
            </w:r>
          </w:p>
        </w:tc>
        <w:tc>
          <w:tcPr>
            <w:tcW w:w="977" w:type="dxa"/>
            <w:tcBorders>
              <w:top w:val="nil"/>
              <w:left w:val="nil"/>
              <w:bottom w:val="nil"/>
              <w:right w:val="nil"/>
            </w:tcBorders>
          </w:tcPr>
          <w:p w14:paraId="26572761"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48,282</w:t>
            </w:r>
          </w:p>
        </w:tc>
        <w:tc>
          <w:tcPr>
            <w:tcW w:w="977" w:type="dxa"/>
            <w:tcBorders>
              <w:top w:val="nil"/>
              <w:left w:val="nil"/>
              <w:bottom w:val="nil"/>
              <w:right w:val="nil"/>
            </w:tcBorders>
          </w:tcPr>
          <w:p w14:paraId="788E86A6"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46,858</w:t>
            </w:r>
          </w:p>
        </w:tc>
        <w:tc>
          <w:tcPr>
            <w:tcW w:w="977" w:type="dxa"/>
            <w:tcBorders>
              <w:top w:val="nil"/>
              <w:left w:val="nil"/>
              <w:bottom w:val="nil"/>
              <w:right w:val="nil"/>
            </w:tcBorders>
          </w:tcPr>
          <w:p w14:paraId="0ED077C5"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57,178</w:t>
            </w:r>
          </w:p>
        </w:tc>
        <w:tc>
          <w:tcPr>
            <w:tcW w:w="977" w:type="dxa"/>
            <w:tcBorders>
              <w:top w:val="nil"/>
              <w:left w:val="nil"/>
              <w:bottom w:val="nil"/>
              <w:right w:val="nil"/>
            </w:tcBorders>
          </w:tcPr>
          <w:p w14:paraId="6E8F7A2F"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11,531</w:t>
            </w:r>
          </w:p>
        </w:tc>
        <w:tc>
          <w:tcPr>
            <w:tcW w:w="976" w:type="dxa"/>
            <w:tcBorders>
              <w:top w:val="nil"/>
              <w:left w:val="nil"/>
              <w:bottom w:val="nil"/>
              <w:right w:val="nil"/>
            </w:tcBorders>
          </w:tcPr>
          <w:p w14:paraId="114F5111"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-6,798</w:t>
            </w:r>
          </w:p>
        </w:tc>
      </w:tr>
      <w:tr w:rsidR="00BA6333" w14:paraId="29E0F4C7" w14:textId="77777777" w:rsidTr="00BA6333">
        <w:trPr>
          <w:trHeight w:val="319"/>
        </w:trPr>
        <w:tc>
          <w:tcPr>
            <w:tcW w:w="4195" w:type="dxa"/>
            <w:tcBorders>
              <w:top w:val="nil"/>
              <w:left w:val="nil"/>
              <w:bottom w:val="nil"/>
              <w:right w:val="nil"/>
            </w:tcBorders>
          </w:tcPr>
          <w:p w14:paraId="4925C871" w14:textId="77777777" w:rsidR="00BA6333" w:rsidRPr="00C01BB9" w:rsidRDefault="00BA6333" w:rsidP="001D30E8">
            <w:pPr>
              <w:autoSpaceDE w:val="0"/>
              <w:autoSpaceDN w:val="0"/>
              <w:adjustRightInd w:val="0"/>
              <w:ind w:firstLineChars="100" w:firstLine="200"/>
              <w:jc w:val="left"/>
              <w:rPr>
                <w:rFonts w:asciiTheme="minorEastAsia" w:hAnsiTheme="minorEastAsia" w:cs="Calibri"/>
                <w:color w:val="000000"/>
                <w:kern w:val="0"/>
                <w:sz w:val="20"/>
                <w:szCs w:val="20"/>
              </w:rPr>
            </w:pPr>
            <w:r w:rsidRPr="00C01BB9">
              <w:rPr>
                <w:rFonts w:asciiTheme="minorEastAsia" w:hAnsiTheme="minorEastAsia" w:cs="Calibri"/>
                <w:color w:val="000000"/>
                <w:kern w:val="0"/>
                <w:sz w:val="20"/>
                <w:szCs w:val="20"/>
              </w:rPr>
              <w:t>販管費</w:t>
            </w:r>
          </w:p>
        </w:tc>
        <w:tc>
          <w:tcPr>
            <w:tcW w:w="977" w:type="dxa"/>
            <w:tcBorders>
              <w:top w:val="nil"/>
              <w:left w:val="nil"/>
              <w:bottom w:val="nil"/>
              <w:right w:val="nil"/>
            </w:tcBorders>
          </w:tcPr>
          <w:p w14:paraId="498774F0"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-16,432</w:t>
            </w:r>
          </w:p>
        </w:tc>
        <w:tc>
          <w:tcPr>
            <w:tcW w:w="977" w:type="dxa"/>
            <w:tcBorders>
              <w:top w:val="nil"/>
              <w:left w:val="nil"/>
              <w:bottom w:val="nil"/>
              <w:right w:val="nil"/>
            </w:tcBorders>
          </w:tcPr>
          <w:p w14:paraId="6C9DE584"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-17,858</w:t>
            </w:r>
          </w:p>
        </w:tc>
        <w:tc>
          <w:tcPr>
            <w:tcW w:w="977" w:type="dxa"/>
            <w:tcBorders>
              <w:top w:val="nil"/>
              <w:left w:val="nil"/>
              <w:bottom w:val="nil"/>
              <w:right w:val="nil"/>
            </w:tcBorders>
          </w:tcPr>
          <w:p w14:paraId="007AD9FD"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-17,865</w:t>
            </w:r>
          </w:p>
        </w:tc>
        <w:tc>
          <w:tcPr>
            <w:tcW w:w="976" w:type="dxa"/>
            <w:tcBorders>
              <w:top w:val="nil"/>
              <w:left w:val="nil"/>
              <w:bottom w:val="nil"/>
              <w:right w:val="nil"/>
            </w:tcBorders>
          </w:tcPr>
          <w:p w14:paraId="04097B15"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-17,906</w:t>
            </w:r>
          </w:p>
        </w:tc>
        <w:tc>
          <w:tcPr>
            <w:tcW w:w="977" w:type="dxa"/>
            <w:tcBorders>
              <w:top w:val="nil"/>
              <w:left w:val="nil"/>
              <w:bottom w:val="nil"/>
              <w:right w:val="nil"/>
            </w:tcBorders>
          </w:tcPr>
          <w:p w14:paraId="7AC382A2"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-16,345</w:t>
            </w:r>
          </w:p>
        </w:tc>
        <w:tc>
          <w:tcPr>
            <w:tcW w:w="977" w:type="dxa"/>
            <w:tcBorders>
              <w:top w:val="nil"/>
              <w:left w:val="nil"/>
              <w:bottom w:val="nil"/>
              <w:right w:val="nil"/>
            </w:tcBorders>
          </w:tcPr>
          <w:p w14:paraId="39777A6B"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-17,856</w:t>
            </w:r>
          </w:p>
        </w:tc>
        <w:tc>
          <w:tcPr>
            <w:tcW w:w="977" w:type="dxa"/>
            <w:tcBorders>
              <w:top w:val="nil"/>
              <w:left w:val="nil"/>
              <w:bottom w:val="nil"/>
              <w:right w:val="nil"/>
            </w:tcBorders>
          </w:tcPr>
          <w:p w14:paraId="37A0354F"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-17,078</w:t>
            </w:r>
          </w:p>
        </w:tc>
        <w:tc>
          <w:tcPr>
            <w:tcW w:w="977" w:type="dxa"/>
            <w:tcBorders>
              <w:top w:val="nil"/>
              <w:left w:val="nil"/>
              <w:bottom w:val="nil"/>
              <w:right w:val="nil"/>
            </w:tcBorders>
          </w:tcPr>
          <w:p w14:paraId="1829FAC2"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-15,707</w:t>
            </w:r>
          </w:p>
        </w:tc>
        <w:tc>
          <w:tcPr>
            <w:tcW w:w="976" w:type="dxa"/>
            <w:tcBorders>
              <w:top w:val="nil"/>
              <w:left w:val="nil"/>
              <w:bottom w:val="nil"/>
              <w:right w:val="nil"/>
            </w:tcBorders>
          </w:tcPr>
          <w:p w14:paraId="1D859CE6"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-8,843</w:t>
            </w:r>
          </w:p>
        </w:tc>
      </w:tr>
      <w:tr w:rsidR="00BA6333" w14:paraId="66AC3A55" w14:textId="77777777" w:rsidTr="00BA6333">
        <w:trPr>
          <w:trHeight w:val="319"/>
        </w:trPr>
        <w:tc>
          <w:tcPr>
            <w:tcW w:w="4195" w:type="dxa"/>
            <w:tcBorders>
              <w:top w:val="nil"/>
              <w:left w:val="nil"/>
              <w:bottom w:val="nil"/>
              <w:right w:val="nil"/>
            </w:tcBorders>
          </w:tcPr>
          <w:p w14:paraId="361B4C3D" w14:textId="77777777" w:rsidR="00BA6333" w:rsidRPr="00C01BB9" w:rsidRDefault="00BA6333">
            <w:pPr>
              <w:autoSpaceDE w:val="0"/>
              <w:autoSpaceDN w:val="0"/>
              <w:adjustRightInd w:val="0"/>
              <w:jc w:val="left"/>
              <w:rPr>
                <w:rFonts w:asciiTheme="minorEastAsia" w:hAnsiTheme="minorEastAsia" w:cs="Calibri"/>
                <w:color w:val="000000"/>
                <w:kern w:val="0"/>
                <w:sz w:val="20"/>
                <w:szCs w:val="20"/>
              </w:rPr>
            </w:pPr>
            <w:r w:rsidRPr="00C01BB9">
              <w:rPr>
                <w:rFonts w:asciiTheme="minorEastAsia" w:hAnsiTheme="minorEastAsia" w:cs="Calibri"/>
                <w:color w:val="000000"/>
                <w:kern w:val="0"/>
                <w:sz w:val="20"/>
                <w:szCs w:val="20"/>
              </w:rPr>
              <w:t>営業利益</w:t>
            </w:r>
          </w:p>
        </w:tc>
        <w:tc>
          <w:tcPr>
            <w:tcW w:w="977" w:type="dxa"/>
            <w:tcBorders>
              <w:top w:val="nil"/>
              <w:left w:val="nil"/>
              <w:bottom w:val="nil"/>
              <w:right w:val="nil"/>
            </w:tcBorders>
          </w:tcPr>
          <w:p w14:paraId="504880BF"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29,830</w:t>
            </w:r>
          </w:p>
        </w:tc>
        <w:tc>
          <w:tcPr>
            <w:tcW w:w="977" w:type="dxa"/>
            <w:tcBorders>
              <w:top w:val="nil"/>
              <w:left w:val="nil"/>
              <w:bottom w:val="nil"/>
              <w:right w:val="nil"/>
            </w:tcBorders>
          </w:tcPr>
          <w:p w14:paraId="08800F42"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32,052</w:t>
            </w:r>
          </w:p>
        </w:tc>
        <w:tc>
          <w:tcPr>
            <w:tcW w:w="977" w:type="dxa"/>
            <w:tcBorders>
              <w:top w:val="nil"/>
              <w:left w:val="nil"/>
              <w:bottom w:val="nil"/>
              <w:right w:val="nil"/>
            </w:tcBorders>
          </w:tcPr>
          <w:p w14:paraId="33D611B9"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44,861</w:t>
            </w:r>
          </w:p>
        </w:tc>
        <w:tc>
          <w:tcPr>
            <w:tcW w:w="976" w:type="dxa"/>
            <w:tcBorders>
              <w:top w:val="nil"/>
              <w:left w:val="nil"/>
              <w:bottom w:val="nil"/>
              <w:right w:val="nil"/>
            </w:tcBorders>
          </w:tcPr>
          <w:p w14:paraId="3672A945"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22,535</w:t>
            </w:r>
          </w:p>
        </w:tc>
        <w:tc>
          <w:tcPr>
            <w:tcW w:w="977" w:type="dxa"/>
            <w:tcBorders>
              <w:top w:val="nil"/>
              <w:left w:val="nil"/>
              <w:bottom w:val="nil"/>
              <w:right w:val="nil"/>
            </w:tcBorders>
          </w:tcPr>
          <w:p w14:paraId="67D48558"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31,936</w:t>
            </w:r>
          </w:p>
        </w:tc>
        <w:tc>
          <w:tcPr>
            <w:tcW w:w="977" w:type="dxa"/>
            <w:tcBorders>
              <w:top w:val="nil"/>
              <w:left w:val="nil"/>
              <w:bottom w:val="nil"/>
              <w:right w:val="nil"/>
            </w:tcBorders>
          </w:tcPr>
          <w:p w14:paraId="5F0C7388"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29,003</w:t>
            </w:r>
          </w:p>
        </w:tc>
        <w:tc>
          <w:tcPr>
            <w:tcW w:w="977" w:type="dxa"/>
            <w:tcBorders>
              <w:top w:val="nil"/>
              <w:left w:val="nil"/>
              <w:bottom w:val="nil"/>
              <w:right w:val="nil"/>
            </w:tcBorders>
          </w:tcPr>
          <w:p w14:paraId="7BB91E31"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40,099</w:t>
            </w:r>
          </w:p>
        </w:tc>
        <w:tc>
          <w:tcPr>
            <w:tcW w:w="977" w:type="dxa"/>
            <w:tcBorders>
              <w:top w:val="nil"/>
              <w:left w:val="nil"/>
              <w:bottom w:val="nil"/>
              <w:right w:val="nil"/>
            </w:tcBorders>
          </w:tcPr>
          <w:p w14:paraId="07C82C53"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-4,176</w:t>
            </w:r>
          </w:p>
        </w:tc>
        <w:tc>
          <w:tcPr>
            <w:tcW w:w="976" w:type="dxa"/>
            <w:tcBorders>
              <w:top w:val="nil"/>
              <w:left w:val="nil"/>
              <w:bottom w:val="nil"/>
              <w:right w:val="nil"/>
            </w:tcBorders>
          </w:tcPr>
          <w:p w14:paraId="25591CA2"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-15,641</w:t>
            </w:r>
          </w:p>
        </w:tc>
      </w:tr>
      <w:tr w:rsidR="00BA6333" w14:paraId="1CB42C1C" w14:textId="77777777" w:rsidTr="00BA6333">
        <w:trPr>
          <w:trHeight w:val="319"/>
        </w:trPr>
        <w:tc>
          <w:tcPr>
            <w:tcW w:w="4195" w:type="dxa"/>
            <w:tcBorders>
              <w:top w:val="nil"/>
              <w:left w:val="nil"/>
              <w:bottom w:val="nil"/>
              <w:right w:val="nil"/>
            </w:tcBorders>
          </w:tcPr>
          <w:p w14:paraId="7846B3A8" w14:textId="77777777" w:rsidR="00BA6333" w:rsidRPr="00C01BB9" w:rsidRDefault="00BA6333">
            <w:pPr>
              <w:autoSpaceDE w:val="0"/>
              <w:autoSpaceDN w:val="0"/>
              <w:adjustRightInd w:val="0"/>
              <w:jc w:val="left"/>
              <w:rPr>
                <w:rFonts w:asciiTheme="minorEastAsia" w:hAnsiTheme="minorEastAsia" w:cs="Calibri"/>
                <w:color w:val="000000"/>
                <w:kern w:val="0"/>
                <w:sz w:val="20"/>
                <w:szCs w:val="20"/>
              </w:rPr>
            </w:pPr>
            <w:r w:rsidRPr="00C01BB9">
              <w:rPr>
                <w:rFonts w:asciiTheme="minorEastAsia" w:hAnsiTheme="minorEastAsia" w:cs="Calibri"/>
                <w:color w:val="000000"/>
                <w:kern w:val="0"/>
                <w:sz w:val="20"/>
                <w:szCs w:val="20"/>
              </w:rPr>
              <w:t>営業外収益</w:t>
            </w:r>
          </w:p>
        </w:tc>
        <w:tc>
          <w:tcPr>
            <w:tcW w:w="977" w:type="dxa"/>
            <w:tcBorders>
              <w:top w:val="nil"/>
              <w:left w:val="nil"/>
              <w:bottom w:val="nil"/>
              <w:right w:val="nil"/>
            </w:tcBorders>
          </w:tcPr>
          <w:p w14:paraId="4B6719A2"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610</w:t>
            </w:r>
          </w:p>
        </w:tc>
        <w:tc>
          <w:tcPr>
            <w:tcW w:w="977" w:type="dxa"/>
            <w:tcBorders>
              <w:top w:val="nil"/>
              <w:left w:val="nil"/>
              <w:bottom w:val="nil"/>
              <w:right w:val="nil"/>
            </w:tcBorders>
          </w:tcPr>
          <w:p w14:paraId="4D4F4161"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116</w:t>
            </w:r>
          </w:p>
        </w:tc>
        <w:tc>
          <w:tcPr>
            <w:tcW w:w="977" w:type="dxa"/>
            <w:tcBorders>
              <w:top w:val="nil"/>
              <w:left w:val="nil"/>
              <w:bottom w:val="nil"/>
              <w:right w:val="nil"/>
            </w:tcBorders>
          </w:tcPr>
          <w:p w14:paraId="748C04CB"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-136</w:t>
            </w:r>
          </w:p>
        </w:tc>
        <w:tc>
          <w:tcPr>
            <w:tcW w:w="976" w:type="dxa"/>
            <w:tcBorders>
              <w:top w:val="nil"/>
              <w:left w:val="nil"/>
              <w:bottom w:val="nil"/>
              <w:right w:val="nil"/>
            </w:tcBorders>
          </w:tcPr>
          <w:p w14:paraId="3AA0E8CA"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-429</w:t>
            </w:r>
          </w:p>
        </w:tc>
        <w:tc>
          <w:tcPr>
            <w:tcW w:w="977" w:type="dxa"/>
            <w:tcBorders>
              <w:top w:val="nil"/>
              <w:left w:val="nil"/>
              <w:bottom w:val="nil"/>
              <w:right w:val="nil"/>
            </w:tcBorders>
          </w:tcPr>
          <w:p w14:paraId="4A0F6FC3"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826</w:t>
            </w:r>
          </w:p>
        </w:tc>
        <w:tc>
          <w:tcPr>
            <w:tcW w:w="977" w:type="dxa"/>
            <w:tcBorders>
              <w:top w:val="nil"/>
              <w:left w:val="nil"/>
              <w:bottom w:val="nil"/>
              <w:right w:val="nil"/>
            </w:tcBorders>
          </w:tcPr>
          <w:p w14:paraId="4D3F78A3"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313</w:t>
            </w:r>
          </w:p>
        </w:tc>
        <w:tc>
          <w:tcPr>
            <w:tcW w:w="977" w:type="dxa"/>
            <w:tcBorders>
              <w:top w:val="nil"/>
              <w:left w:val="nil"/>
              <w:bottom w:val="nil"/>
              <w:right w:val="nil"/>
            </w:tcBorders>
          </w:tcPr>
          <w:p w14:paraId="1703D52B"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181</w:t>
            </w:r>
          </w:p>
        </w:tc>
        <w:tc>
          <w:tcPr>
            <w:tcW w:w="977" w:type="dxa"/>
            <w:tcBorders>
              <w:top w:val="nil"/>
              <w:left w:val="nil"/>
              <w:bottom w:val="nil"/>
              <w:right w:val="nil"/>
            </w:tcBorders>
          </w:tcPr>
          <w:p w14:paraId="09157ED5"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-120</w:t>
            </w:r>
          </w:p>
        </w:tc>
        <w:tc>
          <w:tcPr>
            <w:tcW w:w="976" w:type="dxa"/>
            <w:tcBorders>
              <w:top w:val="nil"/>
              <w:left w:val="nil"/>
              <w:bottom w:val="nil"/>
              <w:right w:val="nil"/>
            </w:tcBorders>
          </w:tcPr>
          <w:p w14:paraId="18AF6B4D"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358</w:t>
            </w:r>
          </w:p>
        </w:tc>
      </w:tr>
      <w:tr w:rsidR="00BA6333" w14:paraId="76ED8F8B" w14:textId="77777777" w:rsidTr="00BA6333">
        <w:trPr>
          <w:trHeight w:val="319"/>
        </w:trPr>
        <w:tc>
          <w:tcPr>
            <w:tcW w:w="4195" w:type="dxa"/>
            <w:tcBorders>
              <w:top w:val="nil"/>
              <w:left w:val="nil"/>
              <w:bottom w:val="nil"/>
              <w:right w:val="nil"/>
            </w:tcBorders>
          </w:tcPr>
          <w:p w14:paraId="470CFE6C" w14:textId="77777777" w:rsidR="00BA6333" w:rsidRPr="00C01BB9" w:rsidRDefault="00BA6333">
            <w:pPr>
              <w:autoSpaceDE w:val="0"/>
              <w:autoSpaceDN w:val="0"/>
              <w:adjustRightInd w:val="0"/>
              <w:jc w:val="left"/>
              <w:rPr>
                <w:rFonts w:asciiTheme="minorEastAsia" w:hAnsiTheme="minorEastAsia" w:cs="Calibri"/>
                <w:color w:val="000000"/>
                <w:kern w:val="0"/>
                <w:sz w:val="20"/>
                <w:szCs w:val="20"/>
              </w:rPr>
            </w:pPr>
            <w:r w:rsidRPr="00C01BB9">
              <w:rPr>
                <w:rFonts w:asciiTheme="minorEastAsia" w:hAnsiTheme="minorEastAsia" w:cs="Calibri"/>
                <w:color w:val="000000"/>
                <w:kern w:val="0"/>
                <w:sz w:val="20"/>
                <w:szCs w:val="20"/>
              </w:rPr>
              <w:t>経常利益</w:t>
            </w:r>
          </w:p>
        </w:tc>
        <w:tc>
          <w:tcPr>
            <w:tcW w:w="977" w:type="dxa"/>
            <w:tcBorders>
              <w:top w:val="nil"/>
              <w:left w:val="nil"/>
              <w:bottom w:val="nil"/>
              <w:right w:val="nil"/>
            </w:tcBorders>
          </w:tcPr>
          <w:p w14:paraId="58893D50"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30,440</w:t>
            </w:r>
          </w:p>
        </w:tc>
        <w:tc>
          <w:tcPr>
            <w:tcW w:w="977" w:type="dxa"/>
            <w:tcBorders>
              <w:top w:val="nil"/>
              <w:left w:val="nil"/>
              <w:bottom w:val="nil"/>
              <w:right w:val="nil"/>
            </w:tcBorders>
          </w:tcPr>
          <w:p w14:paraId="24021C3A"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32,168</w:t>
            </w:r>
          </w:p>
        </w:tc>
        <w:tc>
          <w:tcPr>
            <w:tcW w:w="977" w:type="dxa"/>
            <w:tcBorders>
              <w:top w:val="nil"/>
              <w:left w:val="nil"/>
              <w:bottom w:val="nil"/>
              <w:right w:val="nil"/>
            </w:tcBorders>
          </w:tcPr>
          <w:p w14:paraId="0001A1B5"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44,725</w:t>
            </w:r>
          </w:p>
        </w:tc>
        <w:tc>
          <w:tcPr>
            <w:tcW w:w="976" w:type="dxa"/>
            <w:tcBorders>
              <w:top w:val="nil"/>
              <w:left w:val="nil"/>
              <w:bottom w:val="nil"/>
              <w:right w:val="nil"/>
            </w:tcBorders>
          </w:tcPr>
          <w:p w14:paraId="59A55EEA"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22,106</w:t>
            </w:r>
          </w:p>
        </w:tc>
        <w:tc>
          <w:tcPr>
            <w:tcW w:w="977" w:type="dxa"/>
            <w:tcBorders>
              <w:top w:val="nil"/>
              <w:left w:val="nil"/>
              <w:bottom w:val="nil"/>
              <w:right w:val="nil"/>
            </w:tcBorders>
          </w:tcPr>
          <w:p w14:paraId="38371FC3"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32,762</w:t>
            </w:r>
          </w:p>
        </w:tc>
        <w:tc>
          <w:tcPr>
            <w:tcW w:w="977" w:type="dxa"/>
            <w:tcBorders>
              <w:top w:val="nil"/>
              <w:left w:val="nil"/>
              <w:bottom w:val="nil"/>
              <w:right w:val="nil"/>
            </w:tcBorders>
          </w:tcPr>
          <w:p w14:paraId="35CA3AA1"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29,316</w:t>
            </w:r>
          </w:p>
        </w:tc>
        <w:tc>
          <w:tcPr>
            <w:tcW w:w="977" w:type="dxa"/>
            <w:tcBorders>
              <w:top w:val="nil"/>
              <w:left w:val="nil"/>
              <w:bottom w:val="nil"/>
              <w:right w:val="nil"/>
            </w:tcBorders>
          </w:tcPr>
          <w:p w14:paraId="2A381492"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40,280</w:t>
            </w:r>
          </w:p>
        </w:tc>
        <w:tc>
          <w:tcPr>
            <w:tcW w:w="977" w:type="dxa"/>
            <w:tcBorders>
              <w:top w:val="nil"/>
              <w:left w:val="nil"/>
              <w:bottom w:val="nil"/>
              <w:right w:val="nil"/>
            </w:tcBorders>
          </w:tcPr>
          <w:p w14:paraId="4479F5F6"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-4,296</w:t>
            </w:r>
          </w:p>
        </w:tc>
        <w:tc>
          <w:tcPr>
            <w:tcW w:w="976" w:type="dxa"/>
            <w:tcBorders>
              <w:top w:val="nil"/>
              <w:left w:val="nil"/>
              <w:bottom w:val="nil"/>
              <w:right w:val="nil"/>
            </w:tcBorders>
          </w:tcPr>
          <w:p w14:paraId="15DDBECE"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-15,283</w:t>
            </w:r>
          </w:p>
        </w:tc>
      </w:tr>
      <w:tr w:rsidR="00BA6333" w14:paraId="72D32944" w14:textId="77777777" w:rsidTr="00BA6333">
        <w:trPr>
          <w:trHeight w:val="319"/>
        </w:trPr>
        <w:tc>
          <w:tcPr>
            <w:tcW w:w="4195" w:type="dxa"/>
            <w:tcBorders>
              <w:top w:val="nil"/>
              <w:left w:val="nil"/>
              <w:bottom w:val="nil"/>
              <w:right w:val="nil"/>
            </w:tcBorders>
          </w:tcPr>
          <w:p w14:paraId="12A8B5DE" w14:textId="77777777" w:rsidR="00BA6333" w:rsidRPr="00C01BB9" w:rsidRDefault="00BA6333" w:rsidP="001D30E8">
            <w:pPr>
              <w:autoSpaceDE w:val="0"/>
              <w:autoSpaceDN w:val="0"/>
              <w:adjustRightInd w:val="0"/>
              <w:ind w:firstLineChars="100" w:firstLine="200"/>
              <w:jc w:val="left"/>
              <w:rPr>
                <w:rFonts w:asciiTheme="minorEastAsia" w:hAnsiTheme="minorEastAsia" w:cs="Arial"/>
                <w:color w:val="000000"/>
                <w:kern w:val="0"/>
                <w:sz w:val="20"/>
                <w:szCs w:val="20"/>
              </w:rPr>
            </w:pPr>
            <w:r w:rsidRPr="00C01BB9">
              <w:rPr>
                <w:rFonts w:asciiTheme="minorEastAsia" w:hAnsiTheme="minorEastAsia" w:cs="Arial"/>
                <w:color w:val="000000"/>
                <w:kern w:val="0"/>
                <w:sz w:val="20"/>
                <w:szCs w:val="20"/>
              </w:rPr>
              <w:t>特別損失</w:t>
            </w:r>
          </w:p>
        </w:tc>
        <w:tc>
          <w:tcPr>
            <w:tcW w:w="977" w:type="dxa"/>
            <w:tcBorders>
              <w:top w:val="nil"/>
              <w:left w:val="nil"/>
              <w:bottom w:val="nil"/>
              <w:right w:val="nil"/>
            </w:tcBorders>
          </w:tcPr>
          <w:p w14:paraId="6D55CE8D"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0</w:t>
            </w:r>
          </w:p>
        </w:tc>
        <w:tc>
          <w:tcPr>
            <w:tcW w:w="977" w:type="dxa"/>
            <w:tcBorders>
              <w:top w:val="nil"/>
              <w:left w:val="nil"/>
              <w:bottom w:val="nil"/>
              <w:right w:val="nil"/>
            </w:tcBorders>
          </w:tcPr>
          <w:p w14:paraId="0FE1ED50"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0</w:t>
            </w:r>
          </w:p>
        </w:tc>
        <w:tc>
          <w:tcPr>
            <w:tcW w:w="977" w:type="dxa"/>
            <w:tcBorders>
              <w:top w:val="nil"/>
              <w:left w:val="nil"/>
              <w:bottom w:val="nil"/>
              <w:right w:val="nil"/>
            </w:tcBorders>
          </w:tcPr>
          <w:p w14:paraId="6959D3BA"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0</w:t>
            </w:r>
          </w:p>
        </w:tc>
        <w:tc>
          <w:tcPr>
            <w:tcW w:w="976" w:type="dxa"/>
            <w:tcBorders>
              <w:top w:val="nil"/>
              <w:left w:val="nil"/>
              <w:bottom w:val="nil"/>
              <w:right w:val="nil"/>
            </w:tcBorders>
          </w:tcPr>
          <w:p w14:paraId="361C7338"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0</w:t>
            </w:r>
          </w:p>
        </w:tc>
        <w:tc>
          <w:tcPr>
            <w:tcW w:w="977" w:type="dxa"/>
            <w:tcBorders>
              <w:top w:val="nil"/>
              <w:left w:val="nil"/>
              <w:bottom w:val="nil"/>
              <w:right w:val="nil"/>
            </w:tcBorders>
          </w:tcPr>
          <w:p w14:paraId="7C7CED5A"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0</w:t>
            </w:r>
          </w:p>
        </w:tc>
        <w:tc>
          <w:tcPr>
            <w:tcW w:w="977" w:type="dxa"/>
            <w:tcBorders>
              <w:top w:val="nil"/>
              <w:left w:val="nil"/>
              <w:bottom w:val="nil"/>
              <w:right w:val="nil"/>
            </w:tcBorders>
          </w:tcPr>
          <w:p w14:paraId="5FAA96DF"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0</w:t>
            </w:r>
          </w:p>
        </w:tc>
        <w:tc>
          <w:tcPr>
            <w:tcW w:w="977" w:type="dxa"/>
            <w:tcBorders>
              <w:top w:val="nil"/>
              <w:left w:val="nil"/>
              <w:bottom w:val="nil"/>
              <w:right w:val="nil"/>
            </w:tcBorders>
          </w:tcPr>
          <w:p w14:paraId="2E6AC88C"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0</w:t>
            </w:r>
          </w:p>
        </w:tc>
        <w:tc>
          <w:tcPr>
            <w:tcW w:w="977" w:type="dxa"/>
            <w:tcBorders>
              <w:top w:val="nil"/>
              <w:left w:val="nil"/>
              <w:bottom w:val="nil"/>
              <w:right w:val="nil"/>
            </w:tcBorders>
          </w:tcPr>
          <w:p w14:paraId="519C6D0A"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9,270</w:t>
            </w:r>
          </w:p>
        </w:tc>
        <w:tc>
          <w:tcPr>
            <w:tcW w:w="976" w:type="dxa"/>
            <w:tcBorders>
              <w:top w:val="nil"/>
              <w:left w:val="nil"/>
              <w:bottom w:val="nil"/>
              <w:right w:val="nil"/>
            </w:tcBorders>
          </w:tcPr>
          <w:p w14:paraId="790FEBBA"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21,198</w:t>
            </w:r>
          </w:p>
        </w:tc>
      </w:tr>
      <w:tr w:rsidR="00BA6333" w14:paraId="21422ABF" w14:textId="77777777" w:rsidTr="00BA6333">
        <w:trPr>
          <w:trHeight w:val="319"/>
        </w:trPr>
        <w:tc>
          <w:tcPr>
            <w:tcW w:w="4195" w:type="dxa"/>
            <w:tcBorders>
              <w:top w:val="nil"/>
              <w:left w:val="nil"/>
              <w:bottom w:val="nil"/>
              <w:right w:val="nil"/>
            </w:tcBorders>
          </w:tcPr>
          <w:p w14:paraId="29E308B8" w14:textId="77777777" w:rsidR="00BA6333" w:rsidRPr="00C01BB9" w:rsidRDefault="00BA6333">
            <w:pPr>
              <w:autoSpaceDE w:val="0"/>
              <w:autoSpaceDN w:val="0"/>
              <w:adjustRightInd w:val="0"/>
              <w:jc w:val="left"/>
              <w:rPr>
                <w:rFonts w:asciiTheme="minorEastAsia" w:hAnsiTheme="minorEastAsia" w:cs="Arial"/>
                <w:color w:val="000000"/>
                <w:kern w:val="0"/>
                <w:sz w:val="20"/>
                <w:szCs w:val="20"/>
              </w:rPr>
            </w:pPr>
            <w:r w:rsidRPr="00C01BB9">
              <w:rPr>
                <w:rFonts w:asciiTheme="minorEastAsia" w:hAnsiTheme="minorEastAsia" w:cs="Arial"/>
                <w:color w:val="000000"/>
                <w:kern w:val="0"/>
                <w:sz w:val="20"/>
                <w:szCs w:val="20"/>
              </w:rPr>
              <w:t>税引前利益</w:t>
            </w:r>
          </w:p>
        </w:tc>
        <w:tc>
          <w:tcPr>
            <w:tcW w:w="977" w:type="dxa"/>
            <w:tcBorders>
              <w:top w:val="nil"/>
              <w:left w:val="nil"/>
              <w:bottom w:val="nil"/>
              <w:right w:val="nil"/>
            </w:tcBorders>
          </w:tcPr>
          <w:p w14:paraId="05D24DCB"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30,440</w:t>
            </w:r>
          </w:p>
        </w:tc>
        <w:tc>
          <w:tcPr>
            <w:tcW w:w="977" w:type="dxa"/>
            <w:tcBorders>
              <w:top w:val="nil"/>
              <w:left w:val="nil"/>
              <w:bottom w:val="nil"/>
              <w:right w:val="nil"/>
            </w:tcBorders>
          </w:tcPr>
          <w:p w14:paraId="6FFF1B24"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32,168</w:t>
            </w:r>
          </w:p>
        </w:tc>
        <w:tc>
          <w:tcPr>
            <w:tcW w:w="977" w:type="dxa"/>
            <w:tcBorders>
              <w:top w:val="nil"/>
              <w:left w:val="nil"/>
              <w:bottom w:val="nil"/>
              <w:right w:val="nil"/>
            </w:tcBorders>
          </w:tcPr>
          <w:p w14:paraId="28C12F56"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44,725</w:t>
            </w:r>
          </w:p>
        </w:tc>
        <w:tc>
          <w:tcPr>
            <w:tcW w:w="976" w:type="dxa"/>
            <w:tcBorders>
              <w:top w:val="nil"/>
              <w:left w:val="nil"/>
              <w:bottom w:val="nil"/>
              <w:right w:val="nil"/>
            </w:tcBorders>
          </w:tcPr>
          <w:p w14:paraId="1641C871"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22,106</w:t>
            </w:r>
          </w:p>
        </w:tc>
        <w:tc>
          <w:tcPr>
            <w:tcW w:w="977" w:type="dxa"/>
            <w:tcBorders>
              <w:top w:val="nil"/>
              <w:left w:val="nil"/>
              <w:bottom w:val="nil"/>
              <w:right w:val="nil"/>
            </w:tcBorders>
          </w:tcPr>
          <w:p w14:paraId="74B3547D"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32,762</w:t>
            </w:r>
          </w:p>
        </w:tc>
        <w:tc>
          <w:tcPr>
            <w:tcW w:w="977" w:type="dxa"/>
            <w:tcBorders>
              <w:top w:val="nil"/>
              <w:left w:val="nil"/>
              <w:bottom w:val="nil"/>
              <w:right w:val="nil"/>
            </w:tcBorders>
          </w:tcPr>
          <w:p w14:paraId="1EBD3D84"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29,316</w:t>
            </w:r>
          </w:p>
        </w:tc>
        <w:tc>
          <w:tcPr>
            <w:tcW w:w="977" w:type="dxa"/>
            <w:tcBorders>
              <w:top w:val="nil"/>
              <w:left w:val="nil"/>
              <w:bottom w:val="nil"/>
              <w:right w:val="nil"/>
            </w:tcBorders>
          </w:tcPr>
          <w:p w14:paraId="5CEDBF67"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40,280</w:t>
            </w:r>
          </w:p>
        </w:tc>
        <w:tc>
          <w:tcPr>
            <w:tcW w:w="977" w:type="dxa"/>
            <w:tcBorders>
              <w:top w:val="nil"/>
              <w:left w:val="nil"/>
              <w:bottom w:val="nil"/>
              <w:right w:val="nil"/>
            </w:tcBorders>
          </w:tcPr>
          <w:p w14:paraId="27D4B314"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-13,225</w:t>
            </w:r>
          </w:p>
        </w:tc>
        <w:tc>
          <w:tcPr>
            <w:tcW w:w="976" w:type="dxa"/>
            <w:tcBorders>
              <w:top w:val="nil"/>
              <w:left w:val="nil"/>
              <w:bottom w:val="nil"/>
              <w:right w:val="nil"/>
            </w:tcBorders>
          </w:tcPr>
          <w:p w14:paraId="25E6C5E2"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-36,481</w:t>
            </w:r>
          </w:p>
        </w:tc>
      </w:tr>
      <w:tr w:rsidR="00BA6333" w14:paraId="20946DBE" w14:textId="77777777" w:rsidTr="00BA6333">
        <w:trPr>
          <w:trHeight w:val="319"/>
        </w:trPr>
        <w:tc>
          <w:tcPr>
            <w:tcW w:w="4195" w:type="dxa"/>
            <w:tcBorders>
              <w:top w:val="nil"/>
              <w:left w:val="nil"/>
              <w:bottom w:val="nil"/>
              <w:right w:val="nil"/>
            </w:tcBorders>
          </w:tcPr>
          <w:p w14:paraId="026EAB58" w14:textId="77777777" w:rsidR="00BA6333" w:rsidRPr="00C01BB9" w:rsidRDefault="00BA6333" w:rsidP="001D30E8">
            <w:pPr>
              <w:autoSpaceDE w:val="0"/>
              <w:autoSpaceDN w:val="0"/>
              <w:adjustRightInd w:val="0"/>
              <w:ind w:firstLineChars="100" w:firstLine="200"/>
              <w:jc w:val="left"/>
              <w:rPr>
                <w:rFonts w:asciiTheme="minorEastAsia" w:hAnsiTheme="minorEastAsia" w:cs="Calibri"/>
                <w:color w:val="000000"/>
                <w:kern w:val="0"/>
                <w:sz w:val="20"/>
                <w:szCs w:val="20"/>
              </w:rPr>
            </w:pPr>
            <w:r w:rsidRPr="00C01BB9">
              <w:rPr>
                <w:rFonts w:asciiTheme="minorEastAsia" w:hAnsiTheme="minorEastAsia" w:cs="Calibri"/>
                <w:color w:val="000000"/>
                <w:kern w:val="0"/>
                <w:sz w:val="20"/>
                <w:szCs w:val="20"/>
              </w:rPr>
              <w:t>法人税等</w:t>
            </w:r>
          </w:p>
        </w:tc>
        <w:tc>
          <w:tcPr>
            <w:tcW w:w="977" w:type="dxa"/>
            <w:tcBorders>
              <w:top w:val="nil"/>
              <w:left w:val="nil"/>
              <w:bottom w:val="nil"/>
              <w:right w:val="nil"/>
            </w:tcBorders>
          </w:tcPr>
          <w:p w14:paraId="6AB00D28"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9,298</w:t>
            </w:r>
          </w:p>
        </w:tc>
        <w:tc>
          <w:tcPr>
            <w:tcW w:w="977" w:type="dxa"/>
            <w:tcBorders>
              <w:top w:val="nil"/>
              <w:left w:val="nil"/>
              <w:bottom w:val="nil"/>
              <w:right w:val="nil"/>
            </w:tcBorders>
          </w:tcPr>
          <w:p w14:paraId="7EF5AE97"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9,940</w:t>
            </w:r>
          </w:p>
        </w:tc>
        <w:tc>
          <w:tcPr>
            <w:tcW w:w="977" w:type="dxa"/>
            <w:tcBorders>
              <w:top w:val="nil"/>
              <w:left w:val="nil"/>
              <w:bottom w:val="nil"/>
              <w:right w:val="nil"/>
            </w:tcBorders>
          </w:tcPr>
          <w:p w14:paraId="3237DFC0"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13,735</w:t>
            </w:r>
          </w:p>
        </w:tc>
        <w:tc>
          <w:tcPr>
            <w:tcW w:w="976" w:type="dxa"/>
            <w:tcBorders>
              <w:top w:val="nil"/>
              <w:left w:val="nil"/>
              <w:bottom w:val="nil"/>
              <w:right w:val="nil"/>
            </w:tcBorders>
          </w:tcPr>
          <w:p w14:paraId="248F9D32"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6,180</w:t>
            </w:r>
          </w:p>
        </w:tc>
        <w:tc>
          <w:tcPr>
            <w:tcW w:w="977" w:type="dxa"/>
            <w:tcBorders>
              <w:top w:val="nil"/>
              <w:left w:val="nil"/>
              <w:bottom w:val="nil"/>
              <w:right w:val="nil"/>
            </w:tcBorders>
          </w:tcPr>
          <w:p w14:paraId="348E55D7"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9,838</w:t>
            </w:r>
          </w:p>
        </w:tc>
        <w:tc>
          <w:tcPr>
            <w:tcW w:w="977" w:type="dxa"/>
            <w:tcBorders>
              <w:top w:val="nil"/>
              <w:left w:val="nil"/>
              <w:bottom w:val="nil"/>
              <w:right w:val="nil"/>
            </w:tcBorders>
          </w:tcPr>
          <w:p w14:paraId="537FE84E"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9,155</w:t>
            </w:r>
          </w:p>
        </w:tc>
        <w:tc>
          <w:tcPr>
            <w:tcW w:w="977" w:type="dxa"/>
            <w:tcBorders>
              <w:top w:val="nil"/>
              <w:left w:val="nil"/>
              <w:bottom w:val="nil"/>
              <w:right w:val="nil"/>
            </w:tcBorders>
          </w:tcPr>
          <w:p w14:paraId="6CFFD1F3"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12,372</w:t>
            </w:r>
          </w:p>
        </w:tc>
        <w:tc>
          <w:tcPr>
            <w:tcW w:w="977" w:type="dxa"/>
            <w:tcBorders>
              <w:top w:val="nil"/>
              <w:left w:val="nil"/>
              <w:bottom w:val="nil"/>
              <w:right w:val="nil"/>
            </w:tcBorders>
          </w:tcPr>
          <w:p w14:paraId="2D263A69"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-4,449</w:t>
            </w:r>
          </w:p>
        </w:tc>
        <w:tc>
          <w:tcPr>
            <w:tcW w:w="976" w:type="dxa"/>
            <w:tcBorders>
              <w:top w:val="nil"/>
              <w:left w:val="nil"/>
              <w:bottom w:val="nil"/>
              <w:right w:val="nil"/>
            </w:tcBorders>
          </w:tcPr>
          <w:p w14:paraId="2E9B8D9C"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-11,610</w:t>
            </w:r>
          </w:p>
        </w:tc>
      </w:tr>
      <w:tr w:rsidR="00BA6333" w14:paraId="3D6805A7" w14:textId="77777777" w:rsidTr="00BA6333">
        <w:trPr>
          <w:trHeight w:val="319"/>
        </w:trPr>
        <w:tc>
          <w:tcPr>
            <w:tcW w:w="4195" w:type="dxa"/>
            <w:tcBorders>
              <w:top w:val="nil"/>
              <w:left w:val="nil"/>
              <w:bottom w:val="nil"/>
              <w:right w:val="nil"/>
            </w:tcBorders>
          </w:tcPr>
          <w:p w14:paraId="7942E437" w14:textId="77777777" w:rsidR="00BA6333" w:rsidRPr="00C01BB9" w:rsidRDefault="00BA6333" w:rsidP="001D30E8">
            <w:pPr>
              <w:autoSpaceDE w:val="0"/>
              <w:autoSpaceDN w:val="0"/>
              <w:adjustRightInd w:val="0"/>
              <w:ind w:firstLineChars="200" w:firstLine="400"/>
              <w:jc w:val="left"/>
              <w:rPr>
                <w:rFonts w:asciiTheme="minorEastAsia" w:hAnsiTheme="minorEastAsia" w:cs="Calibri"/>
                <w:color w:val="000000"/>
                <w:kern w:val="0"/>
                <w:sz w:val="20"/>
                <w:szCs w:val="20"/>
              </w:rPr>
            </w:pPr>
            <w:r w:rsidRPr="00C01BB9">
              <w:rPr>
                <w:rFonts w:asciiTheme="minorEastAsia" w:hAnsiTheme="minorEastAsia" w:cs="Calibri"/>
                <w:color w:val="000000"/>
                <w:kern w:val="0"/>
                <w:sz w:val="20"/>
                <w:szCs w:val="20"/>
              </w:rPr>
              <w:t>実質実効税率</w:t>
            </w:r>
          </w:p>
        </w:tc>
        <w:tc>
          <w:tcPr>
            <w:tcW w:w="977" w:type="dxa"/>
            <w:tcBorders>
              <w:top w:val="nil"/>
              <w:left w:val="nil"/>
              <w:bottom w:val="nil"/>
              <w:right w:val="nil"/>
            </w:tcBorders>
          </w:tcPr>
          <w:p w14:paraId="163A1C27"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30.55%</w:t>
            </w:r>
          </w:p>
        </w:tc>
        <w:tc>
          <w:tcPr>
            <w:tcW w:w="977" w:type="dxa"/>
            <w:tcBorders>
              <w:top w:val="nil"/>
              <w:left w:val="nil"/>
              <w:bottom w:val="nil"/>
              <w:right w:val="nil"/>
            </w:tcBorders>
          </w:tcPr>
          <w:p w14:paraId="4E56B58C"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30.90%</w:t>
            </w:r>
          </w:p>
        </w:tc>
        <w:tc>
          <w:tcPr>
            <w:tcW w:w="977" w:type="dxa"/>
            <w:tcBorders>
              <w:top w:val="nil"/>
              <w:left w:val="nil"/>
              <w:bottom w:val="nil"/>
              <w:right w:val="nil"/>
            </w:tcBorders>
          </w:tcPr>
          <w:p w14:paraId="6F7F8A3B"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30.71%</w:t>
            </w:r>
          </w:p>
        </w:tc>
        <w:tc>
          <w:tcPr>
            <w:tcW w:w="976" w:type="dxa"/>
            <w:tcBorders>
              <w:top w:val="nil"/>
              <w:left w:val="nil"/>
              <w:bottom w:val="nil"/>
              <w:right w:val="nil"/>
            </w:tcBorders>
          </w:tcPr>
          <w:p w14:paraId="0AE6F97D"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27.96%</w:t>
            </w:r>
          </w:p>
        </w:tc>
        <w:tc>
          <w:tcPr>
            <w:tcW w:w="977" w:type="dxa"/>
            <w:tcBorders>
              <w:top w:val="nil"/>
              <w:left w:val="nil"/>
              <w:bottom w:val="nil"/>
              <w:right w:val="nil"/>
            </w:tcBorders>
          </w:tcPr>
          <w:p w14:paraId="59FDF438"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30.03%</w:t>
            </w:r>
          </w:p>
        </w:tc>
        <w:tc>
          <w:tcPr>
            <w:tcW w:w="977" w:type="dxa"/>
            <w:tcBorders>
              <w:top w:val="nil"/>
              <w:left w:val="nil"/>
              <w:bottom w:val="nil"/>
              <w:right w:val="nil"/>
            </w:tcBorders>
          </w:tcPr>
          <w:p w14:paraId="7E8EF0F1"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31.23%</w:t>
            </w:r>
          </w:p>
        </w:tc>
        <w:tc>
          <w:tcPr>
            <w:tcW w:w="977" w:type="dxa"/>
            <w:tcBorders>
              <w:top w:val="nil"/>
              <w:left w:val="nil"/>
              <w:bottom w:val="nil"/>
              <w:right w:val="nil"/>
            </w:tcBorders>
          </w:tcPr>
          <w:p w14:paraId="4CBE3D45"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30.71%</w:t>
            </w:r>
          </w:p>
        </w:tc>
        <w:tc>
          <w:tcPr>
            <w:tcW w:w="977" w:type="dxa"/>
            <w:tcBorders>
              <w:top w:val="nil"/>
              <w:left w:val="nil"/>
              <w:bottom w:val="nil"/>
              <w:right w:val="nil"/>
            </w:tcBorders>
          </w:tcPr>
          <w:p w14:paraId="39415350"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33.64%</w:t>
            </w:r>
          </w:p>
        </w:tc>
        <w:tc>
          <w:tcPr>
            <w:tcW w:w="976" w:type="dxa"/>
            <w:tcBorders>
              <w:top w:val="nil"/>
              <w:left w:val="nil"/>
              <w:bottom w:val="nil"/>
              <w:right w:val="nil"/>
            </w:tcBorders>
          </w:tcPr>
          <w:p w14:paraId="1A25F656"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31.82%</w:t>
            </w:r>
          </w:p>
        </w:tc>
      </w:tr>
      <w:tr w:rsidR="00BA6333" w14:paraId="628B3795" w14:textId="77777777" w:rsidTr="00BA6333">
        <w:trPr>
          <w:trHeight w:val="319"/>
        </w:trPr>
        <w:tc>
          <w:tcPr>
            <w:tcW w:w="4195" w:type="dxa"/>
            <w:tcBorders>
              <w:top w:val="nil"/>
              <w:left w:val="nil"/>
              <w:bottom w:val="single" w:sz="6" w:space="0" w:color="000000"/>
              <w:right w:val="nil"/>
            </w:tcBorders>
          </w:tcPr>
          <w:p w14:paraId="5AADAB49" w14:textId="77777777" w:rsidR="00BA6333" w:rsidRPr="00C01BB9" w:rsidRDefault="00BA6333">
            <w:pPr>
              <w:autoSpaceDE w:val="0"/>
              <w:autoSpaceDN w:val="0"/>
              <w:adjustRightInd w:val="0"/>
              <w:jc w:val="left"/>
              <w:rPr>
                <w:rFonts w:asciiTheme="minorEastAsia" w:hAnsiTheme="minorEastAsia" w:cs="Calibri"/>
                <w:color w:val="000000"/>
                <w:kern w:val="0"/>
                <w:sz w:val="20"/>
                <w:szCs w:val="20"/>
              </w:rPr>
            </w:pPr>
            <w:r w:rsidRPr="00C01BB9">
              <w:rPr>
                <w:rFonts w:asciiTheme="minorEastAsia" w:hAnsiTheme="minorEastAsia" w:cs="Calibri"/>
                <w:color w:val="000000"/>
                <w:kern w:val="0"/>
                <w:sz w:val="20"/>
                <w:szCs w:val="20"/>
              </w:rPr>
              <w:t>親会社に帰属する純利益</w:t>
            </w:r>
          </w:p>
        </w:tc>
        <w:tc>
          <w:tcPr>
            <w:tcW w:w="977" w:type="dxa"/>
            <w:tcBorders>
              <w:top w:val="nil"/>
              <w:left w:val="nil"/>
              <w:bottom w:val="single" w:sz="6" w:space="0" w:color="000000"/>
              <w:right w:val="nil"/>
            </w:tcBorders>
          </w:tcPr>
          <w:p w14:paraId="539104A2"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21,142</w:t>
            </w:r>
          </w:p>
        </w:tc>
        <w:tc>
          <w:tcPr>
            <w:tcW w:w="977" w:type="dxa"/>
            <w:tcBorders>
              <w:top w:val="nil"/>
              <w:left w:val="nil"/>
              <w:bottom w:val="single" w:sz="6" w:space="0" w:color="000000"/>
              <w:right w:val="nil"/>
            </w:tcBorders>
          </w:tcPr>
          <w:p w14:paraId="7D6B9104"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22,227</w:t>
            </w:r>
          </w:p>
        </w:tc>
        <w:tc>
          <w:tcPr>
            <w:tcW w:w="977" w:type="dxa"/>
            <w:tcBorders>
              <w:top w:val="nil"/>
              <w:left w:val="nil"/>
              <w:bottom w:val="single" w:sz="6" w:space="0" w:color="000000"/>
              <w:right w:val="nil"/>
            </w:tcBorders>
          </w:tcPr>
          <w:p w14:paraId="22A74250"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30,991</w:t>
            </w:r>
          </w:p>
        </w:tc>
        <w:tc>
          <w:tcPr>
            <w:tcW w:w="976" w:type="dxa"/>
            <w:tcBorders>
              <w:top w:val="nil"/>
              <w:left w:val="nil"/>
              <w:bottom w:val="single" w:sz="6" w:space="0" w:color="000000"/>
              <w:right w:val="nil"/>
            </w:tcBorders>
          </w:tcPr>
          <w:p w14:paraId="05A7B448"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15,926</w:t>
            </w:r>
          </w:p>
        </w:tc>
        <w:tc>
          <w:tcPr>
            <w:tcW w:w="977" w:type="dxa"/>
            <w:tcBorders>
              <w:top w:val="nil"/>
              <w:left w:val="nil"/>
              <w:bottom w:val="single" w:sz="6" w:space="0" w:color="000000"/>
              <w:right w:val="nil"/>
            </w:tcBorders>
          </w:tcPr>
          <w:p w14:paraId="0DBBF0FF"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22,923</w:t>
            </w:r>
          </w:p>
        </w:tc>
        <w:tc>
          <w:tcPr>
            <w:tcW w:w="977" w:type="dxa"/>
            <w:tcBorders>
              <w:top w:val="nil"/>
              <w:left w:val="nil"/>
              <w:bottom w:val="single" w:sz="6" w:space="0" w:color="000000"/>
              <w:right w:val="nil"/>
            </w:tcBorders>
          </w:tcPr>
          <w:p w14:paraId="7E191B02"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20,161</w:t>
            </w:r>
          </w:p>
        </w:tc>
        <w:tc>
          <w:tcPr>
            <w:tcW w:w="977" w:type="dxa"/>
            <w:tcBorders>
              <w:top w:val="nil"/>
              <w:left w:val="nil"/>
              <w:bottom w:val="single" w:sz="6" w:space="0" w:color="000000"/>
              <w:right w:val="nil"/>
            </w:tcBorders>
          </w:tcPr>
          <w:p w14:paraId="242E1AA8" w14:textId="77777777" w:rsidR="00BA6333" w:rsidRPr="00C74F0E" w:rsidRDefault="00BA6333">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27,908</w:t>
            </w:r>
          </w:p>
        </w:tc>
        <w:tc>
          <w:tcPr>
            <w:tcW w:w="977" w:type="dxa"/>
            <w:tcBorders>
              <w:top w:val="nil"/>
              <w:left w:val="nil"/>
              <w:bottom w:val="single" w:sz="6" w:space="0" w:color="000000"/>
              <w:right w:val="nil"/>
            </w:tcBorders>
          </w:tcPr>
          <w:p w14:paraId="17C16D7C"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-8,775</w:t>
            </w:r>
          </w:p>
        </w:tc>
        <w:tc>
          <w:tcPr>
            <w:tcW w:w="976" w:type="dxa"/>
            <w:tcBorders>
              <w:top w:val="nil"/>
              <w:left w:val="nil"/>
              <w:bottom w:val="single" w:sz="6" w:space="0" w:color="000000"/>
              <w:right w:val="nil"/>
            </w:tcBorders>
          </w:tcPr>
          <w:p w14:paraId="7291E857" w14:textId="77777777" w:rsidR="00BA6333" w:rsidRPr="00C74F0E" w:rsidRDefault="00BA6333">
            <w:pPr>
              <w:autoSpaceDE w:val="0"/>
              <w:autoSpaceDN w:val="0"/>
              <w:adjustRightInd w:val="0"/>
              <w:jc w:val="right"/>
              <w:rPr>
                <w:rFonts w:ascii="Century" w:hAnsi="Century" w:cs="Calibri"/>
                <w:color w:val="FF0000"/>
                <w:kern w:val="0"/>
                <w:sz w:val="20"/>
                <w:szCs w:val="20"/>
              </w:rPr>
            </w:pPr>
            <w:r w:rsidRPr="00C74F0E">
              <w:rPr>
                <w:rFonts w:ascii="Century" w:hAnsi="Century" w:cs="Calibri"/>
                <w:color w:val="FF0000"/>
                <w:kern w:val="0"/>
                <w:sz w:val="20"/>
                <w:szCs w:val="20"/>
              </w:rPr>
              <w:t>-24,871</w:t>
            </w:r>
          </w:p>
        </w:tc>
      </w:tr>
    </w:tbl>
    <w:p w14:paraId="748F8584" w14:textId="6A88C1F2" w:rsidR="00BA6333" w:rsidRDefault="00BA6333">
      <w:pPr>
        <w:widowControl/>
        <w:jc w:val="left"/>
      </w:pPr>
      <w:r>
        <w:rPr>
          <w:rFonts w:hint="eastAsia"/>
        </w:rPr>
        <w:t>出典：オリエンタルランド</w:t>
      </w:r>
      <w:r w:rsidR="00AF3BD8">
        <w:rPr>
          <w:rFonts w:hint="eastAsia"/>
        </w:rPr>
        <w:t>社</w:t>
      </w:r>
      <w:r>
        <w:rPr>
          <w:rFonts w:hint="eastAsia"/>
        </w:rPr>
        <w:t>「</w:t>
      </w:r>
      <w:r w:rsidR="0079537D">
        <w:rPr>
          <w:rFonts w:hint="eastAsia"/>
        </w:rPr>
        <w:t>四半期報告書</w:t>
      </w:r>
      <w:r>
        <w:rPr>
          <w:rFonts w:hint="eastAsia"/>
        </w:rPr>
        <w:t>」より筆者作成。</w:t>
      </w:r>
      <w:r w:rsidR="00B15EF4">
        <w:rPr>
          <w:rFonts w:hint="eastAsia"/>
        </w:rPr>
        <w:t>単位は百万円。</w:t>
      </w:r>
    </w:p>
    <w:p w14:paraId="3551BA30" w14:textId="1B6086A7" w:rsidR="00BA6333" w:rsidRDefault="00BA6333">
      <w:pPr>
        <w:widowControl/>
        <w:jc w:val="left"/>
      </w:pPr>
    </w:p>
    <w:p w14:paraId="4905E13A" w14:textId="77777777" w:rsidR="00086A6C" w:rsidRDefault="00086A6C">
      <w:pPr>
        <w:widowControl/>
        <w:jc w:val="left"/>
        <w:sectPr w:rsidR="00086A6C" w:rsidSect="00BA6333">
          <w:pgSz w:w="16838" w:h="11906" w:orient="landscape"/>
          <w:pgMar w:top="1701" w:right="1985" w:bottom="1701" w:left="1701" w:header="851" w:footer="992" w:gutter="0"/>
          <w:cols w:space="425"/>
          <w:docGrid w:type="lines" w:linePitch="360"/>
        </w:sectPr>
      </w:pPr>
    </w:p>
    <w:p w14:paraId="59F3A95D" w14:textId="6D985718" w:rsidR="0079537D" w:rsidRDefault="000214C0" w:rsidP="00086A6C">
      <w:pPr>
        <w:widowControl/>
        <w:jc w:val="left"/>
      </w:pPr>
      <w:r>
        <w:rPr>
          <w:b/>
          <w:bCs/>
        </w:rPr>
        <w:lastRenderedPageBreak/>
        <w:t>2</w:t>
      </w:r>
      <w:r w:rsidR="0079537D" w:rsidRPr="0012638A">
        <w:rPr>
          <w:rFonts w:hint="eastAsia"/>
          <w:b/>
          <w:bCs/>
        </w:rPr>
        <w:t>−</w:t>
      </w:r>
      <w:r>
        <w:rPr>
          <w:b/>
          <w:bCs/>
        </w:rPr>
        <w:t>4</w:t>
      </w:r>
      <w:r w:rsidR="0079537D">
        <w:rPr>
          <w:rFonts w:hint="eastAsia"/>
          <w:b/>
          <w:bCs/>
        </w:rPr>
        <w:t>−</w:t>
      </w:r>
      <w:r>
        <w:rPr>
          <w:rFonts w:hint="eastAsia"/>
          <w:b/>
          <w:bCs/>
        </w:rPr>
        <w:t>2</w:t>
      </w:r>
      <w:r w:rsidR="0079537D">
        <w:rPr>
          <w:rFonts w:hint="eastAsia"/>
          <w:b/>
          <w:bCs/>
        </w:rPr>
        <w:t>．新型コロナウイルス後の財政状態</w:t>
      </w:r>
      <w:r w:rsidR="007B76EE">
        <w:rPr>
          <w:rFonts w:hint="eastAsia"/>
          <w:b/>
          <w:bCs/>
        </w:rPr>
        <w:t>と安全性分析</w:t>
      </w:r>
    </w:p>
    <w:p w14:paraId="0B5A1D6F" w14:textId="0FC43B18" w:rsidR="002169D5" w:rsidRDefault="00605D23" w:rsidP="00086A6C">
      <w:pPr>
        <w:widowControl/>
        <w:jc w:val="left"/>
      </w:pPr>
      <w:r>
        <w:rPr>
          <w:rFonts w:hint="eastAsia"/>
        </w:rPr>
        <w:t xml:space="preserve">　表</w:t>
      </w:r>
      <w:r w:rsidR="007841EC">
        <w:t>8</w:t>
      </w:r>
      <w:r w:rsidR="00DF1BDA">
        <w:rPr>
          <w:rFonts w:hint="eastAsia"/>
        </w:rPr>
        <w:t>、表9</w:t>
      </w:r>
      <w:r>
        <w:rPr>
          <w:rFonts w:hint="eastAsia"/>
        </w:rPr>
        <w:t>は、四半期の貸借対照表に基づき、財政状態を一部抜粋して整理したものである。</w:t>
      </w:r>
      <w:r w:rsidR="001D30E8">
        <w:rPr>
          <w:rFonts w:hint="eastAsia"/>
        </w:rPr>
        <w:t>表8の</w:t>
      </w:r>
      <w:r>
        <w:rPr>
          <w:rFonts w:hint="eastAsia"/>
        </w:rPr>
        <w:t>資産の部を</w:t>
      </w:r>
      <w:r w:rsidR="009C6029">
        <w:rPr>
          <w:rFonts w:hint="eastAsia"/>
        </w:rPr>
        <w:t>みる</w:t>
      </w:r>
      <w:r>
        <w:rPr>
          <w:rFonts w:hint="eastAsia"/>
        </w:rPr>
        <w:t>と、新型コロナウイルス拡大以後、</w:t>
      </w:r>
      <w:r w:rsidR="006764C9">
        <w:rPr>
          <w:rFonts w:hint="eastAsia"/>
        </w:rPr>
        <w:t>総資産は直近の2期間（6ヶ月間）で約１2</w:t>
      </w:r>
      <w:r w:rsidR="00252130">
        <w:t>70</w:t>
      </w:r>
      <w:r w:rsidR="006764C9">
        <w:rPr>
          <w:rFonts w:hint="eastAsia"/>
        </w:rPr>
        <w:t>億円減少し、2021度第1四半期の総資産は9</w:t>
      </w:r>
      <w:r w:rsidR="006764C9">
        <w:t>6</w:t>
      </w:r>
      <w:r w:rsidR="006764C9">
        <w:rPr>
          <w:rFonts w:hint="eastAsia"/>
        </w:rPr>
        <w:t>3</w:t>
      </w:r>
      <w:r w:rsidR="006764C9">
        <w:t>3</w:t>
      </w:r>
      <w:r w:rsidR="006764C9">
        <w:rPr>
          <w:rFonts w:hint="eastAsia"/>
        </w:rPr>
        <w:t>億円</w:t>
      </w:r>
      <w:r w:rsidR="002169D5">
        <w:rPr>
          <w:rFonts w:hint="eastAsia"/>
        </w:rPr>
        <w:t>まで減少している。中でも、現金及び預金は2</w:t>
      </w:r>
      <w:r w:rsidR="002169D5">
        <w:t>020</w:t>
      </w:r>
      <w:r w:rsidR="002169D5">
        <w:rPr>
          <w:rFonts w:hint="eastAsia"/>
        </w:rPr>
        <w:t>年第3四半期から約1500億円がキャッシュアウトしており、</w:t>
      </w:r>
      <w:r w:rsidR="00886857">
        <w:rPr>
          <w:rFonts w:hint="eastAsia"/>
        </w:rPr>
        <w:t>この他に</w:t>
      </w:r>
      <w:r w:rsidR="002169D5">
        <w:rPr>
          <w:rFonts w:hint="eastAsia"/>
        </w:rPr>
        <w:t>売上債権や有価証券などの</w:t>
      </w:r>
      <w:r w:rsidR="00886857">
        <w:rPr>
          <w:rFonts w:hint="eastAsia"/>
        </w:rPr>
        <w:t>流動</w:t>
      </w:r>
      <w:r w:rsidR="002169D5">
        <w:rPr>
          <w:rFonts w:hint="eastAsia"/>
        </w:rPr>
        <w:t>資産も約480億円</w:t>
      </w:r>
      <w:r w:rsidR="00886857">
        <w:rPr>
          <w:rFonts w:hint="eastAsia"/>
        </w:rPr>
        <w:t>減少している。</w:t>
      </w:r>
      <w:r w:rsidR="00C54E34">
        <w:rPr>
          <w:rFonts w:hint="eastAsia"/>
        </w:rPr>
        <w:t>また、固定資産は、</w:t>
      </w:r>
      <w:r w:rsidR="000273FF">
        <w:rPr>
          <w:rFonts w:hint="eastAsia"/>
        </w:rPr>
        <w:t>年々テーマパークへの設備投資が増加している影響もあり、約540億円増加している。</w:t>
      </w:r>
    </w:p>
    <w:p w14:paraId="731D3013" w14:textId="07D9975E" w:rsidR="00B52658" w:rsidRDefault="00886857" w:rsidP="00C54E34">
      <w:pPr>
        <w:widowControl/>
        <w:ind w:firstLineChars="100" w:firstLine="210"/>
        <w:jc w:val="left"/>
      </w:pPr>
      <w:r>
        <w:rPr>
          <w:rFonts w:hint="eastAsia"/>
        </w:rPr>
        <w:t>一方</w:t>
      </w:r>
      <w:r w:rsidR="00C54E34">
        <w:rPr>
          <w:rFonts w:hint="eastAsia"/>
        </w:rPr>
        <w:t>で、</w:t>
      </w:r>
      <w:r w:rsidR="001D30E8">
        <w:rPr>
          <w:rFonts w:hint="eastAsia"/>
        </w:rPr>
        <w:t>表9の</w:t>
      </w:r>
      <w:r w:rsidR="000273FF">
        <w:rPr>
          <w:rFonts w:hint="eastAsia"/>
        </w:rPr>
        <w:t>負債の部を</w:t>
      </w:r>
      <w:r w:rsidR="009C6029">
        <w:rPr>
          <w:rFonts w:hint="eastAsia"/>
        </w:rPr>
        <w:t>み</w:t>
      </w:r>
      <w:r w:rsidR="000273FF">
        <w:rPr>
          <w:rFonts w:hint="eastAsia"/>
        </w:rPr>
        <w:t>ると、負債総額は2期間で560億円減少し、負債の縮小化が図られている。また、純資産の減少</w:t>
      </w:r>
      <w:r w:rsidR="00D258FB">
        <w:rPr>
          <w:rFonts w:hint="eastAsia"/>
        </w:rPr>
        <w:t>額</w:t>
      </w:r>
      <w:r w:rsidR="000273FF">
        <w:rPr>
          <w:rFonts w:hint="eastAsia"/>
        </w:rPr>
        <w:t>が約</w:t>
      </w:r>
      <w:r w:rsidR="00252130">
        <w:rPr>
          <w:rFonts w:hint="eastAsia"/>
        </w:rPr>
        <w:t>710</w:t>
      </w:r>
      <w:r w:rsidR="000273FF">
        <w:rPr>
          <w:rFonts w:hint="eastAsia"/>
        </w:rPr>
        <w:t>億であり、流動資産の支出と比較しても、減少額が小さいことがみてとれる。この点について、総資産の減少額である1270億円を分析すると、その内訳は</w:t>
      </w:r>
      <w:r w:rsidR="00B52658">
        <w:rPr>
          <w:rFonts w:hint="eastAsia"/>
        </w:rPr>
        <w:t>次の</w:t>
      </w:r>
      <w:r w:rsidR="00EF4E49">
        <w:rPr>
          <w:rFonts w:hint="eastAsia"/>
        </w:rPr>
        <w:t>よう</w:t>
      </w:r>
      <w:r w:rsidR="00B52658">
        <w:rPr>
          <w:rFonts w:hint="eastAsia"/>
        </w:rPr>
        <w:t>になる。</w:t>
      </w:r>
    </w:p>
    <w:p w14:paraId="6CDD67AE" w14:textId="77777777" w:rsidR="00D258FB" w:rsidRDefault="00D258FB" w:rsidP="00C54E34">
      <w:pPr>
        <w:widowControl/>
        <w:ind w:firstLineChars="100" w:firstLine="210"/>
        <w:jc w:val="left"/>
      </w:pPr>
    </w:p>
    <w:p w14:paraId="023039A9" w14:textId="3E28B694" w:rsidR="00D258FB" w:rsidRDefault="00D258FB" w:rsidP="00D258FB">
      <w:pPr>
        <w:widowControl/>
        <w:jc w:val="left"/>
      </w:pPr>
      <w:r>
        <w:rPr>
          <w:rFonts w:hint="eastAsia"/>
        </w:rPr>
        <w:t>（内訳）</w:t>
      </w:r>
    </w:p>
    <w:p w14:paraId="5FFB9308" w14:textId="243BAAC7" w:rsidR="00B52658" w:rsidRDefault="00D258FB" w:rsidP="00D258FB">
      <w:pPr>
        <w:widowControl/>
        <w:ind w:firstLineChars="200" w:firstLine="420"/>
        <w:jc w:val="left"/>
      </w:pPr>
      <w:r>
        <w:t>1</w:t>
      </w:r>
      <w:r w:rsidR="00B52658">
        <w:rPr>
          <w:rFonts w:hint="eastAsia"/>
        </w:rPr>
        <w:t>．負債総額の縮小：約56</w:t>
      </w:r>
      <w:r>
        <w:t>5</w:t>
      </w:r>
      <w:r w:rsidR="00B52658">
        <w:rPr>
          <w:rFonts w:hint="eastAsia"/>
        </w:rPr>
        <w:t>億円</w:t>
      </w:r>
    </w:p>
    <w:p w14:paraId="6C2E6019" w14:textId="0EA3022D" w:rsidR="00B52658" w:rsidRDefault="00D258FB" w:rsidP="00252130">
      <w:pPr>
        <w:widowControl/>
        <w:ind w:firstLineChars="200" w:firstLine="420"/>
        <w:jc w:val="left"/>
      </w:pPr>
      <w:r>
        <w:t>2</w:t>
      </w:r>
      <w:r w:rsidR="00B52658">
        <w:rPr>
          <w:rFonts w:hint="eastAsia"/>
        </w:rPr>
        <w:t>．自己株式の取得：約2</w:t>
      </w:r>
      <w:r w:rsidR="00252130">
        <w:t>10</w:t>
      </w:r>
      <w:r w:rsidR="00B52658">
        <w:rPr>
          <w:rFonts w:hint="eastAsia"/>
        </w:rPr>
        <w:t>億円</w:t>
      </w:r>
    </w:p>
    <w:p w14:paraId="34768B04" w14:textId="1DD870BB" w:rsidR="00D258FB" w:rsidRDefault="00D258FB" w:rsidP="00D258FB">
      <w:pPr>
        <w:widowControl/>
        <w:ind w:firstLineChars="200" w:firstLine="420"/>
        <w:jc w:val="left"/>
      </w:pPr>
      <w:r>
        <w:t>3</w:t>
      </w:r>
      <w:r w:rsidR="00B52658">
        <w:rPr>
          <w:rFonts w:hint="eastAsia"/>
        </w:rPr>
        <w:t>．</w:t>
      </w:r>
      <w:r>
        <w:rPr>
          <w:rFonts w:hint="eastAsia"/>
        </w:rPr>
        <w:t>休業による</w:t>
      </w:r>
      <w:r w:rsidR="00B52658">
        <w:rPr>
          <w:rFonts w:hint="eastAsia"/>
        </w:rPr>
        <w:t>損失：約</w:t>
      </w:r>
      <w:r w:rsidR="00252130">
        <w:t>495</w:t>
      </w:r>
      <w:r w:rsidR="00B52658">
        <w:rPr>
          <w:rFonts w:hint="eastAsia"/>
        </w:rPr>
        <w:t>億円</w:t>
      </w:r>
      <w:r w:rsidR="00EF4E49">
        <w:rPr>
          <w:rFonts w:hint="eastAsia"/>
        </w:rPr>
        <w:t>（純損失：約320億円）</w:t>
      </w:r>
    </w:p>
    <w:p w14:paraId="23999546" w14:textId="3B16BD8C" w:rsidR="00EF4E49" w:rsidRDefault="00EF4E49" w:rsidP="00EF4E49">
      <w:pPr>
        <w:widowControl/>
        <w:ind w:firstLineChars="750" w:firstLine="1575"/>
        <w:jc w:val="left"/>
      </w:pPr>
      <w:r>
        <w:rPr>
          <w:rFonts w:hint="eastAsia"/>
        </w:rPr>
        <w:t>支出額：約1270億円</w:t>
      </w:r>
    </w:p>
    <w:p w14:paraId="070A47B2" w14:textId="65FF5BEE" w:rsidR="00D258FB" w:rsidRDefault="00D258FB" w:rsidP="00D258FB">
      <w:pPr>
        <w:widowControl/>
        <w:jc w:val="left"/>
      </w:pPr>
      <w:r>
        <w:t>(</w:t>
      </w:r>
      <w:r>
        <w:rPr>
          <w:rFonts w:hint="eastAsia"/>
        </w:rPr>
        <w:t>補足</w:t>
      </w:r>
      <w:r>
        <w:t>)</w:t>
      </w:r>
    </w:p>
    <w:p w14:paraId="4D70BD2F" w14:textId="41A341D9" w:rsidR="00D258FB" w:rsidRDefault="00D258FB" w:rsidP="00D258FB">
      <w:pPr>
        <w:widowControl/>
        <w:jc w:val="left"/>
      </w:pPr>
      <w:r>
        <w:rPr>
          <w:rFonts w:hint="eastAsia"/>
        </w:rPr>
        <w:t xml:space="preserve">　　4．固定資産の増加：約540億円</w:t>
      </w:r>
    </w:p>
    <w:p w14:paraId="2F21F5D4" w14:textId="5DC8C323" w:rsidR="00EF4E49" w:rsidRPr="00886857" w:rsidRDefault="00EF4E49" w:rsidP="00D258FB">
      <w:pPr>
        <w:widowControl/>
        <w:jc w:val="left"/>
      </w:pPr>
      <w:r>
        <w:rPr>
          <w:rFonts w:hint="eastAsia"/>
        </w:rPr>
        <w:t xml:space="preserve">　　5．誤差：20億</w:t>
      </w:r>
    </w:p>
    <w:p w14:paraId="7C411BAF" w14:textId="179170DB" w:rsidR="00D258FB" w:rsidRDefault="00EF4E49" w:rsidP="00086A6C">
      <w:pPr>
        <w:widowControl/>
        <w:jc w:val="left"/>
      </w:pPr>
      <w:r>
        <w:rPr>
          <w:rFonts w:hint="eastAsia"/>
        </w:rPr>
        <w:t xml:space="preserve">　　純資産の減少額：1</w:t>
      </w:r>
      <w:r>
        <w:t>270</w:t>
      </w:r>
      <w:r>
        <w:rPr>
          <w:rFonts w:hint="eastAsia"/>
        </w:rPr>
        <w:t>－5</w:t>
      </w:r>
      <w:r>
        <w:t>60=</w:t>
      </w:r>
      <w:r>
        <w:rPr>
          <w:rFonts w:hint="eastAsia"/>
        </w:rPr>
        <w:t xml:space="preserve">710億円 </w:t>
      </w:r>
    </w:p>
    <w:p w14:paraId="0ACE139B" w14:textId="79F2F82B" w:rsidR="00D258FB" w:rsidRDefault="00D258FB" w:rsidP="00086A6C">
      <w:pPr>
        <w:widowControl/>
        <w:jc w:val="left"/>
      </w:pPr>
      <w:r>
        <w:rPr>
          <w:rFonts w:hint="eastAsia"/>
        </w:rPr>
        <w:t xml:space="preserve">　</w:t>
      </w:r>
    </w:p>
    <w:p w14:paraId="4F208BB0" w14:textId="678D9D9B" w:rsidR="00F64CF9" w:rsidRDefault="00EF4E49" w:rsidP="00086A6C">
      <w:pPr>
        <w:widowControl/>
        <w:jc w:val="left"/>
      </w:pPr>
      <w:r>
        <w:rPr>
          <w:rFonts w:hint="eastAsia"/>
        </w:rPr>
        <w:t xml:space="preserve">　</w:t>
      </w:r>
      <w:r w:rsidR="000214C0">
        <w:rPr>
          <w:rFonts w:hint="eastAsia"/>
        </w:rPr>
        <w:t>このように、</w:t>
      </w:r>
      <w:r>
        <w:rPr>
          <w:rFonts w:hint="eastAsia"/>
        </w:rPr>
        <w:t>新型コロナウイルス</w:t>
      </w:r>
      <w:r w:rsidR="000214C0">
        <w:rPr>
          <w:rFonts w:hint="eastAsia"/>
        </w:rPr>
        <w:t>以降</w:t>
      </w:r>
      <w:r>
        <w:rPr>
          <w:rFonts w:hint="eastAsia"/>
        </w:rPr>
        <w:t>、2期間で純損失として約320億円計上しているが、負債</w:t>
      </w:r>
      <w:r w:rsidR="00F64CF9">
        <w:rPr>
          <w:rFonts w:hint="eastAsia"/>
        </w:rPr>
        <w:t>総額</w:t>
      </w:r>
      <w:r>
        <w:rPr>
          <w:rFonts w:hint="eastAsia"/>
        </w:rPr>
        <w:t>の縮小や自己株主の取得による財政状態の</w:t>
      </w:r>
      <w:r w:rsidR="00F64CF9">
        <w:rPr>
          <w:rFonts w:hint="eastAsia"/>
        </w:rPr>
        <w:t>安定</w:t>
      </w:r>
      <w:r>
        <w:rPr>
          <w:rFonts w:hint="eastAsia"/>
        </w:rPr>
        <w:t>化、並びに固定資産の増加など、</w:t>
      </w:r>
      <w:r w:rsidR="00F64CF9">
        <w:rPr>
          <w:rFonts w:hint="eastAsia"/>
        </w:rPr>
        <w:t>財務上整理できる項目は解消しているように</w:t>
      </w:r>
      <w:r w:rsidR="000214C0">
        <w:rPr>
          <w:rFonts w:hint="eastAsia"/>
        </w:rPr>
        <w:t>見受けられる</w:t>
      </w:r>
      <w:r w:rsidR="00F64CF9">
        <w:rPr>
          <w:rFonts w:hint="eastAsia"/>
        </w:rPr>
        <w:t>。</w:t>
      </w:r>
      <w:r w:rsidR="000214C0">
        <w:rPr>
          <w:rFonts w:hint="eastAsia"/>
        </w:rPr>
        <w:t>こ</w:t>
      </w:r>
      <w:r w:rsidR="00F64CF9">
        <w:rPr>
          <w:rFonts w:hint="eastAsia"/>
        </w:rPr>
        <w:t>の点を検証するため、</w:t>
      </w:r>
      <w:r w:rsidR="000214C0">
        <w:rPr>
          <w:rFonts w:hint="eastAsia"/>
        </w:rPr>
        <w:t>四半期ごとの</w:t>
      </w:r>
      <w:r w:rsidR="00F64CF9">
        <w:rPr>
          <w:rFonts w:hint="eastAsia"/>
        </w:rPr>
        <w:t>安定性分析を</w:t>
      </w:r>
      <w:r w:rsidR="00A0520C">
        <w:rPr>
          <w:rFonts w:hint="eastAsia"/>
        </w:rPr>
        <w:t>行うと</w:t>
      </w:r>
      <w:r w:rsidR="00F64CF9">
        <w:rPr>
          <w:rFonts w:hint="eastAsia"/>
        </w:rPr>
        <w:t>、</w:t>
      </w:r>
      <w:r w:rsidR="00A0520C">
        <w:rPr>
          <w:rFonts w:hint="eastAsia"/>
        </w:rPr>
        <w:t>表</w:t>
      </w:r>
      <w:r w:rsidR="00DF1BDA">
        <w:t>10</w:t>
      </w:r>
      <w:r w:rsidR="00A0520C">
        <w:rPr>
          <w:rFonts w:hint="eastAsia"/>
        </w:rPr>
        <w:t>にまとめられる。</w:t>
      </w:r>
    </w:p>
    <w:p w14:paraId="71109B17" w14:textId="04BC0D5D" w:rsidR="00A0520C" w:rsidRDefault="007841EC" w:rsidP="00086A6C">
      <w:pPr>
        <w:widowControl/>
        <w:jc w:val="left"/>
      </w:pPr>
      <w:r>
        <w:rPr>
          <w:rFonts w:hint="eastAsia"/>
        </w:rPr>
        <w:t xml:space="preserve">　まず、2021年度第1四半期の流動比率は286.7％であり、前期</w:t>
      </w:r>
      <w:r w:rsidR="00E30F43">
        <w:rPr>
          <w:rFonts w:hint="eastAsia"/>
        </w:rPr>
        <w:t>比で</w:t>
      </w:r>
      <w:r>
        <w:rPr>
          <w:rFonts w:hint="eastAsia"/>
        </w:rPr>
        <w:t>28.5ポイント減少している。固定比率は92.4</w:t>
      </w:r>
      <w:r>
        <w:t>%</w:t>
      </w:r>
      <w:r>
        <w:rPr>
          <w:rFonts w:hint="eastAsia"/>
        </w:rPr>
        <w:t>となり</w:t>
      </w:r>
      <w:r w:rsidR="00E30F43">
        <w:rPr>
          <w:rFonts w:hint="eastAsia"/>
        </w:rPr>
        <w:t>、前期比で</w:t>
      </w:r>
      <w:r w:rsidR="00E30F43">
        <w:t>7.8</w:t>
      </w:r>
      <w:r w:rsidR="00E30F43">
        <w:rPr>
          <w:rFonts w:hint="eastAsia"/>
        </w:rPr>
        <w:t>ポイント増加している。固定長期適合率は8</w:t>
      </w:r>
      <w:r w:rsidR="00E30F43">
        <w:t>3.0%</w:t>
      </w:r>
      <w:r w:rsidR="00E30F43">
        <w:rPr>
          <w:rFonts w:hint="eastAsia"/>
        </w:rPr>
        <w:t>となり、前期比で6</w:t>
      </w:r>
      <w:r w:rsidR="00E30F43">
        <w:t>.8</w:t>
      </w:r>
      <w:r w:rsidR="00E30F43">
        <w:rPr>
          <w:rFonts w:hint="eastAsia"/>
        </w:rPr>
        <w:t>%増加している。ネットD</w:t>
      </w:r>
      <w:r w:rsidR="00E30F43">
        <w:t>E</w:t>
      </w:r>
      <w:r w:rsidR="00E30F43">
        <w:rPr>
          <w:rFonts w:hint="eastAsia"/>
        </w:rPr>
        <w:t>レシオは－</w:t>
      </w:r>
      <w:r w:rsidR="00E30F43">
        <w:t>11.6%</w:t>
      </w:r>
      <w:r w:rsidR="00E30F43">
        <w:rPr>
          <w:rFonts w:hint="eastAsia"/>
        </w:rPr>
        <w:t>となり、前期比で9</w:t>
      </w:r>
      <w:r w:rsidR="00E30F43">
        <w:t>.6</w:t>
      </w:r>
      <w:r w:rsidR="00E30F43">
        <w:rPr>
          <w:rFonts w:hint="eastAsia"/>
        </w:rPr>
        <w:t>ポイント増加している。最後に、自己資本比率は</w:t>
      </w:r>
      <w:r w:rsidR="007B76EE">
        <w:t>81.9%</w:t>
      </w:r>
      <w:r w:rsidR="007B76EE">
        <w:rPr>
          <w:rFonts w:hint="eastAsia"/>
        </w:rPr>
        <w:t>となり、前期比で0</w:t>
      </w:r>
      <w:r w:rsidR="007B76EE">
        <w:t>.7</w:t>
      </w:r>
      <w:r w:rsidR="007B76EE">
        <w:rPr>
          <w:rFonts w:hint="eastAsia"/>
        </w:rPr>
        <w:t>ポイント増加している（財務レバレッジは1.2で増減なし）。</w:t>
      </w:r>
    </w:p>
    <w:p w14:paraId="43956359" w14:textId="4247225E" w:rsidR="007B76EE" w:rsidRPr="007841EC" w:rsidRDefault="007B76EE" w:rsidP="00086A6C">
      <w:pPr>
        <w:widowControl/>
        <w:jc w:val="left"/>
      </w:pPr>
      <w:r>
        <w:rPr>
          <w:rFonts w:hint="eastAsia"/>
        </w:rPr>
        <w:t xml:space="preserve">　安全性の指標を概観すると、キャッシュフローに関連する短期性資産の指標は、新型コロナウイルスの影響もあり、流動比率やネットD</w:t>
      </w:r>
      <w:r>
        <w:t>/E</w:t>
      </w:r>
      <w:r>
        <w:rPr>
          <w:rFonts w:hint="eastAsia"/>
        </w:rPr>
        <w:t>レシオの指標は悪化傾向にある。しかし、他方では、財務レバレッジに変動がなく、むしろ自己資本比率は上昇傾向にあるため、財務の安全性は確保されているといえよう。</w:t>
      </w:r>
    </w:p>
    <w:p w14:paraId="208E0E01" w14:textId="77777777" w:rsidR="00D258FB" w:rsidRDefault="00D258FB" w:rsidP="00086A6C">
      <w:pPr>
        <w:widowControl/>
        <w:jc w:val="left"/>
      </w:pPr>
    </w:p>
    <w:p w14:paraId="32C44643" w14:textId="091FB5CC" w:rsidR="007B76EE" w:rsidRPr="00B52658" w:rsidRDefault="007B76EE" w:rsidP="00086A6C">
      <w:pPr>
        <w:widowControl/>
        <w:jc w:val="left"/>
        <w:sectPr w:rsidR="007B76EE" w:rsidRPr="00B52658" w:rsidSect="0079537D">
          <w:pgSz w:w="11906" w:h="16838"/>
          <w:pgMar w:top="1701" w:right="1701" w:bottom="1701" w:left="1985" w:header="851" w:footer="992" w:gutter="0"/>
          <w:cols w:space="425"/>
          <w:docGrid w:type="lines" w:linePitch="360"/>
        </w:sectPr>
      </w:pPr>
    </w:p>
    <w:p w14:paraId="5D9668AC" w14:textId="3333E2E5" w:rsidR="00241DE6" w:rsidRDefault="00086A6C" w:rsidP="00086A6C">
      <w:pPr>
        <w:widowControl/>
        <w:jc w:val="left"/>
      </w:pPr>
      <w:r>
        <w:rPr>
          <w:rFonts w:hint="eastAsia"/>
        </w:rPr>
        <w:lastRenderedPageBreak/>
        <w:t>表</w:t>
      </w:r>
      <w:r w:rsidR="00F64CF9">
        <w:t>8</w:t>
      </w:r>
      <w:r>
        <w:rPr>
          <w:rFonts w:hint="eastAsia"/>
        </w:rPr>
        <w:t xml:space="preserve">　オリエンタルランド社の貸借対照表</w:t>
      </w:r>
      <w:r w:rsidR="00DF1BDA">
        <w:rPr>
          <w:rFonts w:hint="eastAsia"/>
        </w:rPr>
        <w:t>：資産の部</w:t>
      </w:r>
      <w:r w:rsidR="0079537D">
        <w:rPr>
          <w:rFonts w:hint="eastAsia"/>
        </w:rPr>
        <w:t>（四半期）</w:t>
      </w:r>
    </w:p>
    <w:tbl>
      <w:tblPr>
        <w:tblW w:w="0" w:type="auto"/>
        <w:tblLayout w:type="fixed"/>
        <w:tblCellMar>
          <w:left w:w="99" w:type="dxa"/>
          <w:right w:w="99" w:type="dxa"/>
        </w:tblCellMar>
        <w:tblLook w:val="0000" w:firstRow="0" w:lastRow="0" w:firstColumn="0" w:lastColumn="0" w:noHBand="0" w:noVBand="0"/>
      </w:tblPr>
      <w:tblGrid>
        <w:gridCol w:w="4678"/>
        <w:gridCol w:w="992"/>
        <w:gridCol w:w="993"/>
        <w:gridCol w:w="992"/>
        <w:gridCol w:w="1134"/>
        <w:gridCol w:w="1134"/>
        <w:gridCol w:w="1134"/>
        <w:gridCol w:w="1134"/>
        <w:gridCol w:w="1134"/>
        <w:gridCol w:w="1134"/>
      </w:tblGrid>
      <w:tr w:rsidR="00AD30B9" w14:paraId="2639886F" w14:textId="77777777" w:rsidTr="00E0409C">
        <w:trPr>
          <w:trHeight w:val="335"/>
        </w:trPr>
        <w:tc>
          <w:tcPr>
            <w:tcW w:w="4678" w:type="dxa"/>
            <w:tcBorders>
              <w:top w:val="single" w:sz="6" w:space="0" w:color="000000"/>
              <w:left w:val="nil"/>
              <w:bottom w:val="single" w:sz="6" w:space="0" w:color="000000"/>
              <w:right w:val="nil"/>
            </w:tcBorders>
          </w:tcPr>
          <w:p w14:paraId="6E3A6805" w14:textId="3358E6BC" w:rsidR="00AD30B9" w:rsidRPr="00DF1BDA" w:rsidRDefault="00AD30B9" w:rsidP="00AD30B9">
            <w:pPr>
              <w:autoSpaceDE w:val="0"/>
              <w:autoSpaceDN w:val="0"/>
              <w:adjustRightInd w:val="0"/>
              <w:jc w:val="left"/>
              <w:rPr>
                <w:rFonts w:ascii="Calibri" w:hAnsi="Calibri" w:cs="Calibri"/>
                <w:b/>
                <w:bCs/>
                <w:color w:val="000000"/>
                <w:kern w:val="0"/>
                <w:sz w:val="20"/>
                <w:szCs w:val="20"/>
              </w:rPr>
            </w:pPr>
            <w:r w:rsidRPr="00DF1BDA">
              <w:rPr>
                <w:rFonts w:asciiTheme="minorEastAsia" w:hAnsiTheme="minorEastAsia" w:cs="Calibri"/>
                <w:b/>
                <w:bCs/>
                <w:color w:val="000000"/>
                <w:kern w:val="0"/>
                <w:sz w:val="20"/>
                <w:szCs w:val="20"/>
              </w:rPr>
              <w:t>資産</w:t>
            </w:r>
            <w:r w:rsidRPr="00DF1BDA">
              <w:rPr>
                <w:rFonts w:asciiTheme="minorEastAsia" w:hAnsiTheme="minorEastAsia" w:cs="Calibri" w:hint="eastAsia"/>
                <w:b/>
                <w:bCs/>
                <w:color w:val="000000"/>
                <w:kern w:val="0"/>
                <w:sz w:val="20"/>
                <w:szCs w:val="20"/>
              </w:rPr>
              <w:t>の部</w:t>
            </w:r>
          </w:p>
        </w:tc>
        <w:tc>
          <w:tcPr>
            <w:tcW w:w="992" w:type="dxa"/>
            <w:tcBorders>
              <w:top w:val="single" w:sz="6" w:space="0" w:color="000000"/>
              <w:left w:val="nil"/>
              <w:bottom w:val="single" w:sz="6" w:space="0" w:color="000000"/>
              <w:right w:val="nil"/>
            </w:tcBorders>
            <w:vAlign w:val="center"/>
          </w:tcPr>
          <w:p w14:paraId="51B58A57" w14:textId="2DDEF8A0" w:rsidR="00AD30B9" w:rsidRPr="00C74F0E" w:rsidRDefault="00AD30B9" w:rsidP="00AD30B9">
            <w:pPr>
              <w:autoSpaceDE w:val="0"/>
              <w:autoSpaceDN w:val="0"/>
              <w:adjustRightInd w:val="0"/>
              <w:jc w:val="center"/>
              <w:rPr>
                <w:rFonts w:ascii="Century" w:hAnsi="Century" w:cs="Arial"/>
                <w:b/>
                <w:bCs/>
                <w:color w:val="000000"/>
                <w:kern w:val="0"/>
                <w:sz w:val="20"/>
                <w:szCs w:val="20"/>
              </w:rPr>
            </w:pPr>
            <w:r w:rsidRPr="00C74F0E">
              <w:rPr>
                <w:rFonts w:ascii="Century" w:eastAsia="ＭＳ Ｐゴシック" w:hAnsi="Century" w:cs="Arial"/>
                <w:b/>
                <w:bCs/>
                <w:color w:val="000000"/>
                <w:kern w:val="0"/>
                <w:sz w:val="20"/>
                <w:szCs w:val="20"/>
              </w:rPr>
              <w:t>19.Q1</w:t>
            </w:r>
          </w:p>
        </w:tc>
        <w:tc>
          <w:tcPr>
            <w:tcW w:w="993" w:type="dxa"/>
            <w:tcBorders>
              <w:top w:val="single" w:sz="6" w:space="0" w:color="000000"/>
              <w:left w:val="nil"/>
              <w:bottom w:val="single" w:sz="6" w:space="0" w:color="000000"/>
              <w:right w:val="nil"/>
            </w:tcBorders>
            <w:vAlign w:val="center"/>
          </w:tcPr>
          <w:p w14:paraId="3C8915A1" w14:textId="16020BF1" w:rsidR="00AD30B9" w:rsidRPr="00C74F0E" w:rsidRDefault="00AD30B9" w:rsidP="00AD30B9">
            <w:pPr>
              <w:autoSpaceDE w:val="0"/>
              <w:autoSpaceDN w:val="0"/>
              <w:adjustRightInd w:val="0"/>
              <w:jc w:val="center"/>
              <w:rPr>
                <w:rFonts w:ascii="Century" w:hAnsi="Century" w:cs="Arial"/>
                <w:b/>
                <w:bCs/>
                <w:color w:val="000000"/>
                <w:kern w:val="0"/>
                <w:sz w:val="20"/>
                <w:szCs w:val="20"/>
              </w:rPr>
            </w:pPr>
            <w:r w:rsidRPr="00C74F0E">
              <w:rPr>
                <w:rFonts w:ascii="Century" w:eastAsia="ＭＳ Ｐゴシック" w:hAnsi="Century" w:cs="Arial"/>
                <w:b/>
                <w:bCs/>
                <w:color w:val="000000"/>
                <w:kern w:val="0"/>
                <w:sz w:val="20"/>
                <w:szCs w:val="20"/>
              </w:rPr>
              <w:t>19.Q2</w:t>
            </w:r>
          </w:p>
        </w:tc>
        <w:tc>
          <w:tcPr>
            <w:tcW w:w="992" w:type="dxa"/>
            <w:tcBorders>
              <w:top w:val="single" w:sz="6" w:space="0" w:color="000000"/>
              <w:left w:val="nil"/>
              <w:bottom w:val="single" w:sz="6" w:space="0" w:color="000000"/>
              <w:right w:val="nil"/>
            </w:tcBorders>
            <w:vAlign w:val="center"/>
          </w:tcPr>
          <w:p w14:paraId="720F9C26" w14:textId="3CA2CA85" w:rsidR="00AD30B9" w:rsidRPr="00C74F0E" w:rsidRDefault="00AD30B9" w:rsidP="00AD30B9">
            <w:pPr>
              <w:autoSpaceDE w:val="0"/>
              <w:autoSpaceDN w:val="0"/>
              <w:adjustRightInd w:val="0"/>
              <w:jc w:val="center"/>
              <w:rPr>
                <w:rFonts w:ascii="Century" w:hAnsi="Century" w:cs="Arial"/>
                <w:b/>
                <w:bCs/>
                <w:color w:val="000000"/>
                <w:kern w:val="0"/>
                <w:sz w:val="20"/>
                <w:szCs w:val="20"/>
              </w:rPr>
            </w:pPr>
            <w:r w:rsidRPr="00C74F0E">
              <w:rPr>
                <w:rFonts w:ascii="Century" w:eastAsia="ＭＳ Ｐゴシック" w:hAnsi="Century" w:cs="Arial"/>
                <w:b/>
                <w:bCs/>
                <w:color w:val="000000"/>
                <w:kern w:val="0"/>
                <w:sz w:val="20"/>
                <w:szCs w:val="20"/>
              </w:rPr>
              <w:t>19.Q3</w:t>
            </w:r>
          </w:p>
        </w:tc>
        <w:tc>
          <w:tcPr>
            <w:tcW w:w="1134" w:type="dxa"/>
            <w:tcBorders>
              <w:top w:val="single" w:sz="6" w:space="0" w:color="000000"/>
              <w:left w:val="nil"/>
              <w:bottom w:val="single" w:sz="6" w:space="0" w:color="000000"/>
              <w:right w:val="nil"/>
            </w:tcBorders>
            <w:vAlign w:val="center"/>
          </w:tcPr>
          <w:p w14:paraId="5BE655C3" w14:textId="56923BB3" w:rsidR="00AD30B9" w:rsidRPr="00C74F0E" w:rsidRDefault="00AD30B9" w:rsidP="00AD30B9">
            <w:pPr>
              <w:autoSpaceDE w:val="0"/>
              <w:autoSpaceDN w:val="0"/>
              <w:adjustRightInd w:val="0"/>
              <w:jc w:val="center"/>
              <w:rPr>
                <w:rFonts w:ascii="Century" w:hAnsi="Century" w:cs="Arial"/>
                <w:b/>
                <w:bCs/>
                <w:color w:val="000000"/>
                <w:kern w:val="0"/>
                <w:sz w:val="20"/>
                <w:szCs w:val="20"/>
              </w:rPr>
            </w:pPr>
            <w:r w:rsidRPr="00C74F0E">
              <w:rPr>
                <w:rFonts w:ascii="Century" w:eastAsia="ＭＳ Ｐゴシック" w:hAnsi="Century" w:cs="Arial"/>
                <w:b/>
                <w:bCs/>
                <w:color w:val="000000"/>
                <w:kern w:val="0"/>
                <w:sz w:val="20"/>
                <w:szCs w:val="20"/>
              </w:rPr>
              <w:t>19.Q4</w:t>
            </w:r>
          </w:p>
        </w:tc>
        <w:tc>
          <w:tcPr>
            <w:tcW w:w="1134" w:type="dxa"/>
            <w:tcBorders>
              <w:top w:val="single" w:sz="6" w:space="0" w:color="000000"/>
              <w:left w:val="nil"/>
              <w:bottom w:val="single" w:sz="6" w:space="0" w:color="000000"/>
              <w:right w:val="nil"/>
            </w:tcBorders>
            <w:vAlign w:val="center"/>
          </w:tcPr>
          <w:p w14:paraId="2E7512B3" w14:textId="5133D1A9" w:rsidR="00AD30B9" w:rsidRPr="00C74F0E" w:rsidRDefault="00AD30B9" w:rsidP="00AD30B9">
            <w:pPr>
              <w:autoSpaceDE w:val="0"/>
              <w:autoSpaceDN w:val="0"/>
              <w:adjustRightInd w:val="0"/>
              <w:jc w:val="center"/>
              <w:rPr>
                <w:rFonts w:ascii="Century" w:hAnsi="Century" w:cs="Arial"/>
                <w:b/>
                <w:bCs/>
                <w:color w:val="000000"/>
                <w:kern w:val="0"/>
                <w:sz w:val="20"/>
                <w:szCs w:val="20"/>
              </w:rPr>
            </w:pPr>
            <w:r w:rsidRPr="00C74F0E">
              <w:rPr>
                <w:rFonts w:ascii="Century" w:eastAsia="ＭＳ Ｐゴシック" w:hAnsi="Century" w:cs="Arial"/>
                <w:b/>
                <w:bCs/>
                <w:color w:val="000000"/>
                <w:kern w:val="0"/>
                <w:sz w:val="20"/>
                <w:szCs w:val="20"/>
              </w:rPr>
              <w:t>20.Q1</w:t>
            </w:r>
          </w:p>
        </w:tc>
        <w:tc>
          <w:tcPr>
            <w:tcW w:w="1134" w:type="dxa"/>
            <w:tcBorders>
              <w:top w:val="single" w:sz="6" w:space="0" w:color="000000"/>
              <w:left w:val="nil"/>
              <w:bottom w:val="single" w:sz="6" w:space="0" w:color="000000"/>
              <w:right w:val="nil"/>
            </w:tcBorders>
            <w:vAlign w:val="center"/>
          </w:tcPr>
          <w:p w14:paraId="5C5B3657" w14:textId="1869D5C2" w:rsidR="00AD30B9" w:rsidRPr="00C74F0E" w:rsidRDefault="00AD30B9" w:rsidP="00AD30B9">
            <w:pPr>
              <w:autoSpaceDE w:val="0"/>
              <w:autoSpaceDN w:val="0"/>
              <w:adjustRightInd w:val="0"/>
              <w:jc w:val="center"/>
              <w:rPr>
                <w:rFonts w:ascii="Century" w:hAnsi="Century" w:cs="Arial"/>
                <w:b/>
                <w:bCs/>
                <w:color w:val="000000"/>
                <w:kern w:val="0"/>
                <w:sz w:val="20"/>
                <w:szCs w:val="20"/>
              </w:rPr>
            </w:pPr>
            <w:r w:rsidRPr="00C74F0E">
              <w:rPr>
                <w:rFonts w:ascii="Century" w:eastAsia="ＭＳ Ｐゴシック" w:hAnsi="Century" w:cs="Arial"/>
                <w:b/>
                <w:bCs/>
                <w:color w:val="000000"/>
                <w:kern w:val="0"/>
                <w:sz w:val="20"/>
                <w:szCs w:val="20"/>
              </w:rPr>
              <w:t>20.Q2</w:t>
            </w:r>
          </w:p>
        </w:tc>
        <w:tc>
          <w:tcPr>
            <w:tcW w:w="1134" w:type="dxa"/>
            <w:tcBorders>
              <w:top w:val="single" w:sz="6" w:space="0" w:color="000000"/>
              <w:left w:val="nil"/>
              <w:bottom w:val="single" w:sz="6" w:space="0" w:color="000000"/>
              <w:right w:val="nil"/>
            </w:tcBorders>
            <w:vAlign w:val="center"/>
          </w:tcPr>
          <w:p w14:paraId="3240953A" w14:textId="68DD834E" w:rsidR="00AD30B9" w:rsidRPr="00C74F0E" w:rsidRDefault="00AD30B9" w:rsidP="00AD30B9">
            <w:pPr>
              <w:autoSpaceDE w:val="0"/>
              <w:autoSpaceDN w:val="0"/>
              <w:adjustRightInd w:val="0"/>
              <w:jc w:val="center"/>
              <w:rPr>
                <w:rFonts w:ascii="Century" w:hAnsi="Century" w:cs="Arial"/>
                <w:b/>
                <w:bCs/>
                <w:color w:val="000000"/>
                <w:kern w:val="0"/>
                <w:sz w:val="20"/>
                <w:szCs w:val="20"/>
              </w:rPr>
            </w:pPr>
            <w:r w:rsidRPr="00C74F0E">
              <w:rPr>
                <w:rFonts w:ascii="Century" w:eastAsia="ＭＳ Ｐゴシック" w:hAnsi="Century" w:cs="Arial"/>
                <w:b/>
                <w:bCs/>
                <w:color w:val="000000"/>
                <w:kern w:val="0"/>
                <w:sz w:val="20"/>
                <w:szCs w:val="20"/>
              </w:rPr>
              <w:t>20.Q3</w:t>
            </w:r>
          </w:p>
        </w:tc>
        <w:tc>
          <w:tcPr>
            <w:tcW w:w="1134" w:type="dxa"/>
            <w:tcBorders>
              <w:top w:val="single" w:sz="6" w:space="0" w:color="000000"/>
              <w:left w:val="nil"/>
              <w:bottom w:val="single" w:sz="6" w:space="0" w:color="000000"/>
              <w:right w:val="nil"/>
            </w:tcBorders>
            <w:vAlign w:val="center"/>
          </w:tcPr>
          <w:p w14:paraId="72A9A1F1" w14:textId="3797A4EE" w:rsidR="00AD30B9" w:rsidRPr="00C74F0E" w:rsidRDefault="00AD30B9" w:rsidP="00AD30B9">
            <w:pPr>
              <w:autoSpaceDE w:val="0"/>
              <w:autoSpaceDN w:val="0"/>
              <w:adjustRightInd w:val="0"/>
              <w:jc w:val="center"/>
              <w:rPr>
                <w:rFonts w:ascii="Century" w:hAnsi="Century" w:cs="Arial"/>
                <w:b/>
                <w:bCs/>
                <w:color w:val="000000"/>
                <w:kern w:val="0"/>
                <w:sz w:val="20"/>
                <w:szCs w:val="20"/>
              </w:rPr>
            </w:pPr>
            <w:r w:rsidRPr="00C74F0E">
              <w:rPr>
                <w:rFonts w:ascii="Century" w:eastAsia="ＭＳ Ｐゴシック" w:hAnsi="Century" w:cs="Arial"/>
                <w:b/>
                <w:bCs/>
                <w:color w:val="000000"/>
                <w:kern w:val="0"/>
                <w:sz w:val="20"/>
                <w:szCs w:val="20"/>
              </w:rPr>
              <w:t>20.Q4</w:t>
            </w:r>
          </w:p>
        </w:tc>
        <w:tc>
          <w:tcPr>
            <w:tcW w:w="1134" w:type="dxa"/>
            <w:tcBorders>
              <w:top w:val="single" w:sz="6" w:space="0" w:color="000000"/>
              <w:left w:val="nil"/>
              <w:bottom w:val="single" w:sz="6" w:space="0" w:color="000000"/>
              <w:right w:val="nil"/>
            </w:tcBorders>
            <w:vAlign w:val="center"/>
          </w:tcPr>
          <w:p w14:paraId="70B68C84" w14:textId="23A82857" w:rsidR="00AD30B9" w:rsidRPr="00C74F0E" w:rsidRDefault="00AD30B9" w:rsidP="00AD30B9">
            <w:pPr>
              <w:autoSpaceDE w:val="0"/>
              <w:autoSpaceDN w:val="0"/>
              <w:adjustRightInd w:val="0"/>
              <w:jc w:val="center"/>
              <w:rPr>
                <w:rFonts w:ascii="Century" w:hAnsi="Century" w:cs="Arial"/>
                <w:b/>
                <w:bCs/>
                <w:color w:val="000000"/>
                <w:kern w:val="0"/>
                <w:sz w:val="20"/>
                <w:szCs w:val="20"/>
              </w:rPr>
            </w:pPr>
            <w:r w:rsidRPr="00C74F0E">
              <w:rPr>
                <w:rFonts w:ascii="Century" w:eastAsia="ＭＳ Ｐゴシック" w:hAnsi="Century" w:cs="Arial"/>
                <w:b/>
                <w:bCs/>
                <w:color w:val="000000"/>
                <w:kern w:val="0"/>
                <w:sz w:val="20"/>
                <w:szCs w:val="20"/>
              </w:rPr>
              <w:t>21.Q1</w:t>
            </w:r>
          </w:p>
        </w:tc>
      </w:tr>
      <w:tr w:rsidR="0079537D" w14:paraId="786927FB" w14:textId="77777777" w:rsidTr="0079537D">
        <w:trPr>
          <w:trHeight w:val="335"/>
        </w:trPr>
        <w:tc>
          <w:tcPr>
            <w:tcW w:w="4678" w:type="dxa"/>
            <w:tcBorders>
              <w:top w:val="nil"/>
              <w:left w:val="nil"/>
              <w:bottom w:val="nil"/>
              <w:right w:val="nil"/>
            </w:tcBorders>
          </w:tcPr>
          <w:p w14:paraId="20C8EB1E" w14:textId="77777777" w:rsidR="00241DE6" w:rsidRPr="00DF1BDA" w:rsidRDefault="00241DE6">
            <w:pPr>
              <w:autoSpaceDE w:val="0"/>
              <w:autoSpaceDN w:val="0"/>
              <w:adjustRightInd w:val="0"/>
              <w:jc w:val="left"/>
              <w:rPr>
                <w:rFonts w:asciiTheme="minorEastAsia" w:hAnsiTheme="minorEastAsia" w:cs="Calibri"/>
                <w:color w:val="000000"/>
                <w:kern w:val="0"/>
                <w:sz w:val="20"/>
                <w:szCs w:val="20"/>
              </w:rPr>
            </w:pPr>
            <w:r w:rsidRPr="00DF1BDA">
              <w:rPr>
                <w:rFonts w:asciiTheme="minorEastAsia" w:hAnsiTheme="minorEastAsia" w:cs="Calibri"/>
                <w:color w:val="000000"/>
                <w:kern w:val="0"/>
                <w:sz w:val="20"/>
                <w:szCs w:val="20"/>
              </w:rPr>
              <w:t>流動資産</w:t>
            </w:r>
          </w:p>
        </w:tc>
        <w:tc>
          <w:tcPr>
            <w:tcW w:w="992" w:type="dxa"/>
            <w:tcBorders>
              <w:top w:val="nil"/>
              <w:left w:val="nil"/>
              <w:bottom w:val="nil"/>
              <w:right w:val="nil"/>
            </w:tcBorders>
          </w:tcPr>
          <w:p w14:paraId="56F08FBA" w14:textId="77777777" w:rsidR="00241DE6" w:rsidRPr="00C74F0E" w:rsidRDefault="00241DE6">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349,056</w:t>
            </w:r>
          </w:p>
        </w:tc>
        <w:tc>
          <w:tcPr>
            <w:tcW w:w="993" w:type="dxa"/>
            <w:tcBorders>
              <w:top w:val="nil"/>
              <w:left w:val="nil"/>
              <w:bottom w:val="nil"/>
              <w:right w:val="nil"/>
            </w:tcBorders>
          </w:tcPr>
          <w:p w14:paraId="65C6A464" w14:textId="77777777" w:rsidR="00241DE6" w:rsidRPr="00C74F0E" w:rsidRDefault="00241DE6">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373,118</w:t>
            </w:r>
          </w:p>
        </w:tc>
        <w:tc>
          <w:tcPr>
            <w:tcW w:w="992" w:type="dxa"/>
            <w:tcBorders>
              <w:top w:val="nil"/>
              <w:left w:val="nil"/>
              <w:bottom w:val="nil"/>
              <w:right w:val="nil"/>
            </w:tcBorders>
          </w:tcPr>
          <w:p w14:paraId="109D77A8" w14:textId="77777777" w:rsidR="00241DE6" w:rsidRPr="00C74F0E" w:rsidRDefault="00241DE6">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386,890</w:t>
            </w:r>
          </w:p>
        </w:tc>
        <w:tc>
          <w:tcPr>
            <w:tcW w:w="1134" w:type="dxa"/>
            <w:tcBorders>
              <w:top w:val="nil"/>
              <w:left w:val="nil"/>
              <w:bottom w:val="nil"/>
              <w:right w:val="nil"/>
            </w:tcBorders>
          </w:tcPr>
          <w:p w14:paraId="04042E05" w14:textId="77777777" w:rsidR="00241DE6" w:rsidRPr="00C74F0E" w:rsidRDefault="00241DE6">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441,835</w:t>
            </w:r>
          </w:p>
        </w:tc>
        <w:tc>
          <w:tcPr>
            <w:tcW w:w="1134" w:type="dxa"/>
            <w:tcBorders>
              <w:top w:val="nil"/>
              <w:left w:val="nil"/>
              <w:bottom w:val="nil"/>
              <w:right w:val="nil"/>
            </w:tcBorders>
          </w:tcPr>
          <w:p w14:paraId="2F661BF5" w14:textId="77777777" w:rsidR="00241DE6" w:rsidRPr="00C74F0E" w:rsidRDefault="00241DE6">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417,000</w:t>
            </w:r>
          </w:p>
        </w:tc>
        <w:tc>
          <w:tcPr>
            <w:tcW w:w="1134" w:type="dxa"/>
            <w:tcBorders>
              <w:top w:val="nil"/>
              <w:left w:val="nil"/>
              <w:bottom w:val="nil"/>
              <w:right w:val="nil"/>
            </w:tcBorders>
          </w:tcPr>
          <w:p w14:paraId="7B4B4AEF" w14:textId="77777777" w:rsidR="00241DE6" w:rsidRPr="00C74F0E" w:rsidRDefault="00241DE6">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402,015</w:t>
            </w:r>
          </w:p>
        </w:tc>
        <w:tc>
          <w:tcPr>
            <w:tcW w:w="1134" w:type="dxa"/>
            <w:tcBorders>
              <w:top w:val="nil"/>
              <w:left w:val="nil"/>
              <w:bottom w:val="nil"/>
              <w:right w:val="nil"/>
            </w:tcBorders>
          </w:tcPr>
          <w:p w14:paraId="1286B73A" w14:textId="77777777" w:rsidR="00241DE6" w:rsidRPr="00C74F0E" w:rsidRDefault="00241DE6">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416,876</w:t>
            </w:r>
          </w:p>
        </w:tc>
        <w:tc>
          <w:tcPr>
            <w:tcW w:w="1134" w:type="dxa"/>
            <w:tcBorders>
              <w:top w:val="nil"/>
              <w:left w:val="nil"/>
              <w:bottom w:val="nil"/>
              <w:right w:val="nil"/>
            </w:tcBorders>
          </w:tcPr>
          <w:p w14:paraId="552FDE0C" w14:textId="77777777" w:rsidR="00241DE6" w:rsidRPr="00C74F0E" w:rsidRDefault="00241DE6">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316,741</w:t>
            </w:r>
          </w:p>
        </w:tc>
        <w:tc>
          <w:tcPr>
            <w:tcW w:w="1134" w:type="dxa"/>
            <w:tcBorders>
              <w:top w:val="nil"/>
              <w:left w:val="nil"/>
              <w:bottom w:val="nil"/>
              <w:right w:val="nil"/>
            </w:tcBorders>
          </w:tcPr>
          <w:p w14:paraId="2866521F" w14:textId="77777777" w:rsidR="00241DE6" w:rsidRPr="00C74F0E" w:rsidRDefault="00241DE6">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234,485</w:t>
            </w:r>
          </w:p>
        </w:tc>
      </w:tr>
      <w:tr w:rsidR="0079537D" w14:paraId="5CD7F494" w14:textId="77777777" w:rsidTr="0079537D">
        <w:trPr>
          <w:trHeight w:val="335"/>
        </w:trPr>
        <w:tc>
          <w:tcPr>
            <w:tcW w:w="4678" w:type="dxa"/>
            <w:tcBorders>
              <w:top w:val="nil"/>
              <w:left w:val="nil"/>
              <w:bottom w:val="nil"/>
              <w:right w:val="nil"/>
            </w:tcBorders>
          </w:tcPr>
          <w:p w14:paraId="752FB547" w14:textId="77777777" w:rsidR="00241DE6" w:rsidRPr="00DF1BDA" w:rsidRDefault="00241DE6">
            <w:pPr>
              <w:autoSpaceDE w:val="0"/>
              <w:autoSpaceDN w:val="0"/>
              <w:adjustRightInd w:val="0"/>
              <w:jc w:val="left"/>
              <w:rPr>
                <w:rFonts w:asciiTheme="minorEastAsia" w:hAnsiTheme="minorEastAsia" w:cs="ＭＳ ゴシック"/>
                <w:color w:val="000000"/>
                <w:kern w:val="0"/>
                <w:sz w:val="20"/>
                <w:szCs w:val="20"/>
              </w:rPr>
            </w:pPr>
            <w:r w:rsidRPr="00DF1BDA">
              <w:rPr>
                <w:rFonts w:asciiTheme="minorEastAsia" w:hAnsiTheme="minorEastAsia" w:cs="ＭＳ ゴシック" w:hint="eastAsia"/>
                <w:color w:val="000000"/>
                <w:kern w:val="0"/>
                <w:sz w:val="20"/>
                <w:szCs w:val="20"/>
              </w:rPr>
              <w:t xml:space="preserve">　現金及び預金</w:t>
            </w:r>
          </w:p>
        </w:tc>
        <w:tc>
          <w:tcPr>
            <w:tcW w:w="992" w:type="dxa"/>
            <w:tcBorders>
              <w:top w:val="nil"/>
              <w:left w:val="nil"/>
              <w:bottom w:val="nil"/>
              <w:right w:val="nil"/>
            </w:tcBorders>
          </w:tcPr>
          <w:p w14:paraId="424A509D"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285,705</w:t>
            </w:r>
          </w:p>
        </w:tc>
        <w:tc>
          <w:tcPr>
            <w:tcW w:w="993" w:type="dxa"/>
            <w:tcBorders>
              <w:top w:val="nil"/>
              <w:left w:val="nil"/>
              <w:bottom w:val="nil"/>
              <w:right w:val="nil"/>
            </w:tcBorders>
          </w:tcPr>
          <w:p w14:paraId="38037F90"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308,219</w:t>
            </w:r>
          </w:p>
        </w:tc>
        <w:tc>
          <w:tcPr>
            <w:tcW w:w="992" w:type="dxa"/>
            <w:tcBorders>
              <w:top w:val="nil"/>
              <w:left w:val="nil"/>
              <w:bottom w:val="nil"/>
              <w:right w:val="nil"/>
            </w:tcBorders>
          </w:tcPr>
          <w:p w14:paraId="794179B2"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321,494</w:t>
            </w:r>
          </w:p>
        </w:tc>
        <w:tc>
          <w:tcPr>
            <w:tcW w:w="1134" w:type="dxa"/>
            <w:tcBorders>
              <w:top w:val="nil"/>
              <w:left w:val="nil"/>
              <w:bottom w:val="nil"/>
              <w:right w:val="nil"/>
            </w:tcBorders>
          </w:tcPr>
          <w:p w14:paraId="5FE69F51"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377,551</w:t>
            </w:r>
          </w:p>
        </w:tc>
        <w:tc>
          <w:tcPr>
            <w:tcW w:w="1134" w:type="dxa"/>
            <w:tcBorders>
              <w:top w:val="nil"/>
              <w:left w:val="nil"/>
              <w:bottom w:val="nil"/>
              <w:right w:val="nil"/>
            </w:tcBorders>
          </w:tcPr>
          <w:p w14:paraId="2D7AD7CB"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350,643</w:t>
            </w:r>
          </w:p>
        </w:tc>
        <w:tc>
          <w:tcPr>
            <w:tcW w:w="1134" w:type="dxa"/>
            <w:tcBorders>
              <w:top w:val="nil"/>
              <w:left w:val="nil"/>
              <w:bottom w:val="nil"/>
              <w:right w:val="nil"/>
            </w:tcBorders>
          </w:tcPr>
          <w:p w14:paraId="5CB559C4"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329,328</w:t>
            </w:r>
          </w:p>
        </w:tc>
        <w:tc>
          <w:tcPr>
            <w:tcW w:w="1134" w:type="dxa"/>
            <w:tcBorders>
              <w:top w:val="nil"/>
              <w:left w:val="nil"/>
              <w:bottom w:val="nil"/>
              <w:right w:val="nil"/>
            </w:tcBorders>
          </w:tcPr>
          <w:p w14:paraId="344197EF"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329,175</w:t>
            </w:r>
          </w:p>
        </w:tc>
        <w:tc>
          <w:tcPr>
            <w:tcW w:w="1134" w:type="dxa"/>
            <w:tcBorders>
              <w:top w:val="nil"/>
              <w:left w:val="nil"/>
              <w:bottom w:val="nil"/>
              <w:right w:val="nil"/>
            </w:tcBorders>
          </w:tcPr>
          <w:p w14:paraId="536E7C99"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261,164</w:t>
            </w:r>
          </w:p>
        </w:tc>
        <w:tc>
          <w:tcPr>
            <w:tcW w:w="1134" w:type="dxa"/>
            <w:tcBorders>
              <w:top w:val="nil"/>
              <w:left w:val="nil"/>
              <w:bottom w:val="nil"/>
              <w:right w:val="nil"/>
            </w:tcBorders>
          </w:tcPr>
          <w:p w14:paraId="50AECC14"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178,083</w:t>
            </w:r>
          </w:p>
        </w:tc>
      </w:tr>
      <w:tr w:rsidR="0079537D" w14:paraId="17479809" w14:textId="77777777" w:rsidTr="0079537D">
        <w:trPr>
          <w:trHeight w:val="335"/>
        </w:trPr>
        <w:tc>
          <w:tcPr>
            <w:tcW w:w="4678" w:type="dxa"/>
            <w:tcBorders>
              <w:top w:val="nil"/>
              <w:left w:val="nil"/>
              <w:bottom w:val="nil"/>
              <w:right w:val="nil"/>
            </w:tcBorders>
          </w:tcPr>
          <w:p w14:paraId="63CEBF62" w14:textId="77777777" w:rsidR="00241DE6" w:rsidRPr="00DF1BDA" w:rsidRDefault="00241DE6">
            <w:pPr>
              <w:autoSpaceDE w:val="0"/>
              <w:autoSpaceDN w:val="0"/>
              <w:adjustRightInd w:val="0"/>
              <w:jc w:val="left"/>
              <w:rPr>
                <w:rFonts w:asciiTheme="minorEastAsia" w:hAnsiTheme="minorEastAsia" w:cs="ＭＳ ゴシック"/>
                <w:color w:val="000000"/>
                <w:kern w:val="0"/>
                <w:sz w:val="20"/>
                <w:szCs w:val="20"/>
              </w:rPr>
            </w:pPr>
            <w:r w:rsidRPr="00DF1BDA">
              <w:rPr>
                <w:rFonts w:asciiTheme="minorEastAsia" w:hAnsiTheme="minorEastAsia" w:cs="ＭＳ ゴシック" w:hint="eastAsia"/>
                <w:color w:val="000000"/>
                <w:kern w:val="0"/>
                <w:sz w:val="20"/>
                <w:szCs w:val="20"/>
              </w:rPr>
              <w:t xml:space="preserve">　売掛金および受取手形</w:t>
            </w:r>
          </w:p>
        </w:tc>
        <w:tc>
          <w:tcPr>
            <w:tcW w:w="992" w:type="dxa"/>
            <w:tcBorders>
              <w:top w:val="nil"/>
              <w:left w:val="nil"/>
              <w:bottom w:val="nil"/>
              <w:right w:val="nil"/>
            </w:tcBorders>
          </w:tcPr>
          <w:p w14:paraId="0D9108D8"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18,236</w:t>
            </w:r>
          </w:p>
        </w:tc>
        <w:tc>
          <w:tcPr>
            <w:tcW w:w="993" w:type="dxa"/>
            <w:tcBorders>
              <w:top w:val="nil"/>
              <w:left w:val="nil"/>
              <w:bottom w:val="nil"/>
              <w:right w:val="nil"/>
            </w:tcBorders>
          </w:tcPr>
          <w:p w14:paraId="100CEBB6"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18,704</w:t>
            </w:r>
          </w:p>
        </w:tc>
        <w:tc>
          <w:tcPr>
            <w:tcW w:w="992" w:type="dxa"/>
            <w:tcBorders>
              <w:top w:val="nil"/>
              <w:left w:val="nil"/>
              <w:bottom w:val="nil"/>
              <w:right w:val="nil"/>
            </w:tcBorders>
          </w:tcPr>
          <w:p w14:paraId="5ABB6328"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23,304</w:t>
            </w:r>
          </w:p>
        </w:tc>
        <w:tc>
          <w:tcPr>
            <w:tcW w:w="1134" w:type="dxa"/>
            <w:tcBorders>
              <w:top w:val="nil"/>
              <w:left w:val="nil"/>
              <w:bottom w:val="nil"/>
              <w:right w:val="nil"/>
            </w:tcBorders>
          </w:tcPr>
          <w:p w14:paraId="61D7DEA7"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22,083</w:t>
            </w:r>
          </w:p>
        </w:tc>
        <w:tc>
          <w:tcPr>
            <w:tcW w:w="1134" w:type="dxa"/>
            <w:tcBorders>
              <w:top w:val="nil"/>
              <w:left w:val="nil"/>
              <w:bottom w:val="nil"/>
              <w:right w:val="nil"/>
            </w:tcBorders>
          </w:tcPr>
          <w:p w14:paraId="3185A6CD"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18,261</w:t>
            </w:r>
          </w:p>
        </w:tc>
        <w:tc>
          <w:tcPr>
            <w:tcW w:w="1134" w:type="dxa"/>
            <w:tcBorders>
              <w:top w:val="nil"/>
              <w:left w:val="nil"/>
              <w:bottom w:val="nil"/>
              <w:right w:val="nil"/>
            </w:tcBorders>
          </w:tcPr>
          <w:p w14:paraId="6F5CE328"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21,776</w:t>
            </w:r>
          </w:p>
        </w:tc>
        <w:tc>
          <w:tcPr>
            <w:tcW w:w="1134" w:type="dxa"/>
            <w:tcBorders>
              <w:top w:val="nil"/>
              <w:left w:val="nil"/>
              <w:bottom w:val="nil"/>
              <w:right w:val="nil"/>
            </w:tcBorders>
          </w:tcPr>
          <w:p w14:paraId="598369D2"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22,619</w:t>
            </w:r>
          </w:p>
        </w:tc>
        <w:tc>
          <w:tcPr>
            <w:tcW w:w="1134" w:type="dxa"/>
            <w:tcBorders>
              <w:top w:val="nil"/>
              <w:left w:val="nil"/>
              <w:bottom w:val="nil"/>
              <w:right w:val="nil"/>
            </w:tcBorders>
          </w:tcPr>
          <w:p w14:paraId="217F7389"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7,225</w:t>
            </w:r>
          </w:p>
        </w:tc>
        <w:tc>
          <w:tcPr>
            <w:tcW w:w="1134" w:type="dxa"/>
            <w:tcBorders>
              <w:top w:val="nil"/>
              <w:left w:val="nil"/>
              <w:bottom w:val="nil"/>
              <w:right w:val="nil"/>
            </w:tcBorders>
          </w:tcPr>
          <w:p w14:paraId="318004DE"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5,431</w:t>
            </w:r>
          </w:p>
        </w:tc>
      </w:tr>
      <w:tr w:rsidR="002169D5" w14:paraId="348077E5" w14:textId="77777777" w:rsidTr="0079537D">
        <w:trPr>
          <w:trHeight w:val="335"/>
        </w:trPr>
        <w:tc>
          <w:tcPr>
            <w:tcW w:w="4678" w:type="dxa"/>
            <w:tcBorders>
              <w:top w:val="nil"/>
              <w:left w:val="nil"/>
              <w:bottom w:val="nil"/>
              <w:right w:val="nil"/>
            </w:tcBorders>
          </w:tcPr>
          <w:p w14:paraId="30A04D83" w14:textId="78113BF8" w:rsidR="002169D5" w:rsidRPr="00DF1BDA" w:rsidRDefault="002169D5" w:rsidP="002169D5">
            <w:pPr>
              <w:autoSpaceDE w:val="0"/>
              <w:autoSpaceDN w:val="0"/>
              <w:adjustRightInd w:val="0"/>
              <w:jc w:val="left"/>
              <w:rPr>
                <w:rFonts w:asciiTheme="minorEastAsia" w:hAnsiTheme="minorEastAsia" w:cs="ＭＳ Ｐゴシック"/>
                <w:color w:val="000000"/>
                <w:kern w:val="0"/>
                <w:sz w:val="20"/>
                <w:szCs w:val="20"/>
              </w:rPr>
            </w:pPr>
            <w:r w:rsidRPr="00DF1BDA">
              <w:rPr>
                <w:rFonts w:asciiTheme="minorEastAsia" w:hAnsiTheme="minorEastAsia" w:cs="ＭＳ Ｐゴシック" w:hint="eastAsia"/>
                <w:color w:val="000000"/>
                <w:kern w:val="0"/>
                <w:sz w:val="20"/>
                <w:szCs w:val="20"/>
              </w:rPr>
              <w:t xml:space="preserve">　有価証券</w:t>
            </w:r>
          </w:p>
        </w:tc>
        <w:tc>
          <w:tcPr>
            <w:tcW w:w="992" w:type="dxa"/>
            <w:tcBorders>
              <w:top w:val="nil"/>
              <w:left w:val="nil"/>
              <w:bottom w:val="nil"/>
              <w:right w:val="nil"/>
            </w:tcBorders>
          </w:tcPr>
          <w:p w14:paraId="10CA75EE" w14:textId="2D75F64E" w:rsidR="002169D5" w:rsidRPr="00C74F0E" w:rsidRDefault="002169D5" w:rsidP="002169D5">
            <w:pPr>
              <w:autoSpaceDE w:val="0"/>
              <w:autoSpaceDN w:val="0"/>
              <w:adjustRightInd w:val="0"/>
              <w:jc w:val="right"/>
              <w:rPr>
                <w:rFonts w:ascii="Century" w:eastAsia="ＭＳ Ｐゴシック" w:hAnsi="Century" w:cs="Calibri"/>
                <w:color w:val="000000"/>
                <w:kern w:val="0"/>
                <w:sz w:val="20"/>
                <w:szCs w:val="21"/>
              </w:rPr>
            </w:pPr>
            <w:r w:rsidRPr="00C74F0E">
              <w:rPr>
                <w:rFonts w:ascii="Century" w:hAnsi="Century" w:cs="Calibri"/>
                <w:sz w:val="20"/>
                <w:szCs w:val="21"/>
              </w:rPr>
              <w:t>17,998</w:t>
            </w:r>
          </w:p>
        </w:tc>
        <w:tc>
          <w:tcPr>
            <w:tcW w:w="993" w:type="dxa"/>
            <w:tcBorders>
              <w:top w:val="nil"/>
              <w:left w:val="nil"/>
              <w:bottom w:val="nil"/>
              <w:right w:val="nil"/>
            </w:tcBorders>
          </w:tcPr>
          <w:p w14:paraId="421AEF0C" w14:textId="684028D4" w:rsidR="002169D5" w:rsidRPr="00C74F0E" w:rsidRDefault="002169D5" w:rsidP="002169D5">
            <w:pPr>
              <w:autoSpaceDE w:val="0"/>
              <w:autoSpaceDN w:val="0"/>
              <w:adjustRightInd w:val="0"/>
              <w:jc w:val="right"/>
              <w:rPr>
                <w:rFonts w:ascii="Century" w:eastAsia="ＭＳ Ｐゴシック" w:hAnsi="Century" w:cs="Calibri"/>
                <w:color w:val="000000"/>
                <w:kern w:val="0"/>
                <w:sz w:val="20"/>
                <w:szCs w:val="21"/>
              </w:rPr>
            </w:pPr>
            <w:r w:rsidRPr="00C74F0E">
              <w:rPr>
                <w:rFonts w:ascii="Century" w:hAnsi="Century" w:cs="Calibri"/>
                <w:sz w:val="20"/>
                <w:szCs w:val="21"/>
              </w:rPr>
              <w:t>19,998</w:t>
            </w:r>
          </w:p>
        </w:tc>
        <w:tc>
          <w:tcPr>
            <w:tcW w:w="992" w:type="dxa"/>
            <w:tcBorders>
              <w:top w:val="nil"/>
              <w:left w:val="nil"/>
              <w:bottom w:val="nil"/>
              <w:right w:val="nil"/>
            </w:tcBorders>
          </w:tcPr>
          <w:p w14:paraId="1E51730F" w14:textId="2F39321F" w:rsidR="002169D5" w:rsidRPr="00C74F0E" w:rsidRDefault="002169D5" w:rsidP="002169D5">
            <w:pPr>
              <w:autoSpaceDE w:val="0"/>
              <w:autoSpaceDN w:val="0"/>
              <w:adjustRightInd w:val="0"/>
              <w:jc w:val="right"/>
              <w:rPr>
                <w:rFonts w:ascii="Century" w:eastAsia="ＭＳ Ｐゴシック" w:hAnsi="Century" w:cs="Calibri"/>
                <w:color w:val="000000"/>
                <w:kern w:val="0"/>
                <w:sz w:val="20"/>
                <w:szCs w:val="21"/>
              </w:rPr>
            </w:pPr>
            <w:r w:rsidRPr="00C74F0E">
              <w:rPr>
                <w:rFonts w:ascii="Century" w:hAnsi="Century" w:cs="Calibri"/>
                <w:sz w:val="20"/>
                <w:szCs w:val="21"/>
              </w:rPr>
              <w:t>17,998</w:t>
            </w:r>
          </w:p>
        </w:tc>
        <w:tc>
          <w:tcPr>
            <w:tcW w:w="1134" w:type="dxa"/>
            <w:tcBorders>
              <w:top w:val="nil"/>
              <w:left w:val="nil"/>
              <w:bottom w:val="nil"/>
              <w:right w:val="nil"/>
            </w:tcBorders>
          </w:tcPr>
          <w:p w14:paraId="35B7B5CE" w14:textId="229A0455" w:rsidR="002169D5" w:rsidRPr="00C74F0E" w:rsidRDefault="002169D5" w:rsidP="002169D5">
            <w:pPr>
              <w:autoSpaceDE w:val="0"/>
              <w:autoSpaceDN w:val="0"/>
              <w:adjustRightInd w:val="0"/>
              <w:jc w:val="right"/>
              <w:rPr>
                <w:rFonts w:ascii="Century" w:eastAsia="ＭＳ Ｐゴシック" w:hAnsi="Century" w:cs="Calibri"/>
                <w:color w:val="000000"/>
                <w:kern w:val="0"/>
                <w:sz w:val="20"/>
                <w:szCs w:val="21"/>
              </w:rPr>
            </w:pPr>
            <w:r w:rsidRPr="00C74F0E">
              <w:rPr>
                <w:rFonts w:ascii="Century" w:hAnsi="Century" w:cs="Calibri"/>
                <w:sz w:val="20"/>
                <w:szCs w:val="21"/>
              </w:rPr>
              <w:t>20,999</w:t>
            </w:r>
          </w:p>
        </w:tc>
        <w:tc>
          <w:tcPr>
            <w:tcW w:w="1134" w:type="dxa"/>
            <w:tcBorders>
              <w:top w:val="nil"/>
              <w:left w:val="nil"/>
              <w:bottom w:val="nil"/>
              <w:right w:val="nil"/>
            </w:tcBorders>
          </w:tcPr>
          <w:p w14:paraId="63C671E1" w14:textId="17185A61" w:rsidR="002169D5" w:rsidRPr="00C74F0E" w:rsidRDefault="002169D5" w:rsidP="002169D5">
            <w:pPr>
              <w:autoSpaceDE w:val="0"/>
              <w:autoSpaceDN w:val="0"/>
              <w:adjustRightInd w:val="0"/>
              <w:jc w:val="right"/>
              <w:rPr>
                <w:rFonts w:ascii="Century" w:eastAsia="ＭＳ Ｐゴシック" w:hAnsi="Century" w:cs="Calibri"/>
                <w:color w:val="000000"/>
                <w:kern w:val="0"/>
                <w:sz w:val="20"/>
                <w:szCs w:val="21"/>
              </w:rPr>
            </w:pPr>
            <w:r w:rsidRPr="00C74F0E">
              <w:rPr>
                <w:rFonts w:ascii="Century" w:hAnsi="Century" w:cs="Calibri"/>
                <w:sz w:val="20"/>
                <w:szCs w:val="21"/>
              </w:rPr>
              <w:t>23,998</w:t>
            </w:r>
          </w:p>
        </w:tc>
        <w:tc>
          <w:tcPr>
            <w:tcW w:w="1134" w:type="dxa"/>
            <w:tcBorders>
              <w:top w:val="nil"/>
              <w:left w:val="nil"/>
              <w:bottom w:val="nil"/>
              <w:right w:val="nil"/>
            </w:tcBorders>
          </w:tcPr>
          <w:p w14:paraId="4F0BC0F8" w14:textId="41E48FE2" w:rsidR="002169D5" w:rsidRPr="00C74F0E" w:rsidRDefault="002169D5" w:rsidP="002169D5">
            <w:pPr>
              <w:autoSpaceDE w:val="0"/>
              <w:autoSpaceDN w:val="0"/>
              <w:adjustRightInd w:val="0"/>
              <w:jc w:val="right"/>
              <w:rPr>
                <w:rFonts w:ascii="Century" w:eastAsia="ＭＳ Ｐゴシック" w:hAnsi="Century" w:cs="Calibri"/>
                <w:color w:val="000000"/>
                <w:kern w:val="0"/>
                <w:sz w:val="20"/>
                <w:szCs w:val="21"/>
              </w:rPr>
            </w:pPr>
            <w:r w:rsidRPr="00C74F0E">
              <w:rPr>
                <w:rFonts w:ascii="Century" w:hAnsi="Century" w:cs="Calibri"/>
                <w:sz w:val="20"/>
                <w:szCs w:val="21"/>
              </w:rPr>
              <w:t>25,998</w:t>
            </w:r>
          </w:p>
        </w:tc>
        <w:tc>
          <w:tcPr>
            <w:tcW w:w="1134" w:type="dxa"/>
            <w:tcBorders>
              <w:top w:val="nil"/>
              <w:left w:val="nil"/>
              <w:bottom w:val="nil"/>
              <w:right w:val="nil"/>
            </w:tcBorders>
          </w:tcPr>
          <w:p w14:paraId="10F6CA15" w14:textId="17E733DE" w:rsidR="002169D5" w:rsidRPr="00C74F0E" w:rsidRDefault="002169D5" w:rsidP="002169D5">
            <w:pPr>
              <w:autoSpaceDE w:val="0"/>
              <w:autoSpaceDN w:val="0"/>
              <w:adjustRightInd w:val="0"/>
              <w:jc w:val="right"/>
              <w:rPr>
                <w:rFonts w:ascii="Century" w:eastAsia="ＭＳ Ｐゴシック" w:hAnsi="Century" w:cs="Calibri"/>
                <w:color w:val="000000"/>
                <w:kern w:val="0"/>
                <w:sz w:val="20"/>
                <w:szCs w:val="21"/>
              </w:rPr>
            </w:pPr>
            <w:r w:rsidRPr="00C74F0E">
              <w:rPr>
                <w:rFonts w:ascii="Century" w:hAnsi="Century" w:cs="Calibri"/>
                <w:sz w:val="20"/>
                <w:szCs w:val="21"/>
              </w:rPr>
              <w:t>38,996</w:t>
            </w:r>
          </w:p>
        </w:tc>
        <w:tc>
          <w:tcPr>
            <w:tcW w:w="1134" w:type="dxa"/>
            <w:tcBorders>
              <w:top w:val="nil"/>
              <w:left w:val="nil"/>
              <w:bottom w:val="nil"/>
              <w:right w:val="nil"/>
            </w:tcBorders>
          </w:tcPr>
          <w:p w14:paraId="66B32EE4" w14:textId="533DD834" w:rsidR="002169D5" w:rsidRPr="00C74F0E" w:rsidRDefault="002169D5" w:rsidP="002169D5">
            <w:pPr>
              <w:autoSpaceDE w:val="0"/>
              <w:autoSpaceDN w:val="0"/>
              <w:adjustRightInd w:val="0"/>
              <w:jc w:val="right"/>
              <w:rPr>
                <w:rFonts w:ascii="Century" w:eastAsia="ＭＳ Ｐゴシック" w:hAnsi="Century" w:cs="Calibri"/>
                <w:color w:val="000000"/>
                <w:kern w:val="0"/>
                <w:sz w:val="20"/>
                <w:szCs w:val="21"/>
              </w:rPr>
            </w:pPr>
            <w:r w:rsidRPr="00C74F0E">
              <w:rPr>
                <w:rFonts w:ascii="Century" w:hAnsi="Century" w:cs="Calibri"/>
                <w:sz w:val="20"/>
                <w:szCs w:val="21"/>
              </w:rPr>
              <w:t>19,999</w:t>
            </w:r>
          </w:p>
        </w:tc>
        <w:tc>
          <w:tcPr>
            <w:tcW w:w="1134" w:type="dxa"/>
            <w:tcBorders>
              <w:top w:val="nil"/>
              <w:left w:val="nil"/>
              <w:bottom w:val="nil"/>
              <w:right w:val="nil"/>
            </w:tcBorders>
          </w:tcPr>
          <w:p w14:paraId="031AC191" w14:textId="31FAD615" w:rsidR="002169D5" w:rsidRPr="00C74F0E" w:rsidRDefault="002169D5" w:rsidP="002169D5">
            <w:pPr>
              <w:autoSpaceDE w:val="0"/>
              <w:autoSpaceDN w:val="0"/>
              <w:adjustRightInd w:val="0"/>
              <w:jc w:val="right"/>
              <w:rPr>
                <w:rFonts w:ascii="Century" w:eastAsia="ＭＳ Ｐゴシック" w:hAnsi="Century" w:cs="Calibri"/>
                <w:color w:val="000000"/>
                <w:kern w:val="0"/>
                <w:sz w:val="20"/>
                <w:szCs w:val="21"/>
              </w:rPr>
            </w:pPr>
            <w:r w:rsidRPr="00C74F0E">
              <w:rPr>
                <w:rFonts w:ascii="Century" w:hAnsi="Century" w:cs="Calibri"/>
                <w:sz w:val="20"/>
                <w:szCs w:val="21"/>
              </w:rPr>
              <w:t>7,485</w:t>
            </w:r>
          </w:p>
        </w:tc>
      </w:tr>
      <w:tr w:rsidR="0079537D" w14:paraId="4A96D7FD" w14:textId="77777777" w:rsidTr="0079537D">
        <w:trPr>
          <w:trHeight w:val="335"/>
        </w:trPr>
        <w:tc>
          <w:tcPr>
            <w:tcW w:w="4678" w:type="dxa"/>
            <w:tcBorders>
              <w:top w:val="nil"/>
              <w:left w:val="nil"/>
              <w:bottom w:val="nil"/>
              <w:right w:val="nil"/>
            </w:tcBorders>
          </w:tcPr>
          <w:p w14:paraId="3F846A14" w14:textId="77777777" w:rsidR="00241DE6" w:rsidRPr="00DF1BDA" w:rsidRDefault="00241DE6">
            <w:pPr>
              <w:autoSpaceDE w:val="0"/>
              <w:autoSpaceDN w:val="0"/>
              <w:adjustRightInd w:val="0"/>
              <w:jc w:val="left"/>
              <w:rPr>
                <w:rFonts w:asciiTheme="minorEastAsia" w:hAnsiTheme="minorEastAsia" w:cs="ＭＳ ゴシック"/>
                <w:color w:val="000000"/>
                <w:kern w:val="0"/>
                <w:sz w:val="20"/>
                <w:szCs w:val="20"/>
              </w:rPr>
            </w:pPr>
            <w:r w:rsidRPr="00DF1BDA">
              <w:rPr>
                <w:rFonts w:asciiTheme="minorEastAsia" w:hAnsiTheme="minorEastAsia" w:cs="ＭＳ ゴシック" w:hint="eastAsia"/>
                <w:color w:val="000000"/>
                <w:kern w:val="0"/>
                <w:sz w:val="20"/>
                <w:szCs w:val="20"/>
              </w:rPr>
              <w:t xml:space="preserve">　製品および仕掛品</w:t>
            </w:r>
          </w:p>
        </w:tc>
        <w:tc>
          <w:tcPr>
            <w:tcW w:w="992" w:type="dxa"/>
            <w:tcBorders>
              <w:top w:val="nil"/>
              <w:left w:val="nil"/>
              <w:bottom w:val="nil"/>
              <w:right w:val="nil"/>
            </w:tcBorders>
          </w:tcPr>
          <w:p w14:paraId="55E66299"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20,988</w:t>
            </w:r>
          </w:p>
        </w:tc>
        <w:tc>
          <w:tcPr>
            <w:tcW w:w="993" w:type="dxa"/>
            <w:tcBorders>
              <w:top w:val="nil"/>
              <w:left w:val="nil"/>
              <w:bottom w:val="nil"/>
              <w:right w:val="nil"/>
            </w:tcBorders>
          </w:tcPr>
          <w:p w14:paraId="02615F8D"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20,661</w:t>
            </w:r>
          </w:p>
        </w:tc>
        <w:tc>
          <w:tcPr>
            <w:tcW w:w="992" w:type="dxa"/>
            <w:tcBorders>
              <w:top w:val="nil"/>
              <w:left w:val="nil"/>
              <w:bottom w:val="nil"/>
              <w:right w:val="nil"/>
            </w:tcBorders>
          </w:tcPr>
          <w:p w14:paraId="6C9B6123"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19,521</w:t>
            </w:r>
          </w:p>
        </w:tc>
        <w:tc>
          <w:tcPr>
            <w:tcW w:w="1134" w:type="dxa"/>
            <w:tcBorders>
              <w:top w:val="nil"/>
              <w:left w:val="nil"/>
              <w:bottom w:val="nil"/>
              <w:right w:val="nil"/>
            </w:tcBorders>
          </w:tcPr>
          <w:p w14:paraId="1FEA6F69"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17,323</w:t>
            </w:r>
          </w:p>
        </w:tc>
        <w:tc>
          <w:tcPr>
            <w:tcW w:w="1134" w:type="dxa"/>
            <w:tcBorders>
              <w:top w:val="nil"/>
              <w:left w:val="nil"/>
              <w:bottom w:val="nil"/>
              <w:right w:val="nil"/>
            </w:tcBorders>
          </w:tcPr>
          <w:p w14:paraId="7FC0C4B7"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18,576</w:t>
            </w:r>
          </w:p>
        </w:tc>
        <w:tc>
          <w:tcPr>
            <w:tcW w:w="1134" w:type="dxa"/>
            <w:tcBorders>
              <w:top w:val="nil"/>
              <w:left w:val="nil"/>
              <w:bottom w:val="nil"/>
              <w:right w:val="nil"/>
            </w:tcBorders>
          </w:tcPr>
          <w:p w14:paraId="21479BD1"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19,522</w:t>
            </w:r>
          </w:p>
        </w:tc>
        <w:tc>
          <w:tcPr>
            <w:tcW w:w="1134" w:type="dxa"/>
            <w:tcBorders>
              <w:top w:val="nil"/>
              <w:left w:val="nil"/>
              <w:bottom w:val="nil"/>
              <w:right w:val="nil"/>
            </w:tcBorders>
          </w:tcPr>
          <w:p w14:paraId="533153CD"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21,480</w:t>
            </w:r>
          </w:p>
        </w:tc>
        <w:tc>
          <w:tcPr>
            <w:tcW w:w="1134" w:type="dxa"/>
            <w:tcBorders>
              <w:top w:val="nil"/>
              <w:left w:val="nil"/>
              <w:bottom w:val="nil"/>
              <w:right w:val="nil"/>
            </w:tcBorders>
          </w:tcPr>
          <w:p w14:paraId="2668C620"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20,087</w:t>
            </w:r>
          </w:p>
        </w:tc>
        <w:tc>
          <w:tcPr>
            <w:tcW w:w="1134" w:type="dxa"/>
            <w:tcBorders>
              <w:top w:val="nil"/>
              <w:left w:val="nil"/>
              <w:bottom w:val="nil"/>
              <w:right w:val="nil"/>
            </w:tcBorders>
          </w:tcPr>
          <w:p w14:paraId="1C858D9F"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26,104</w:t>
            </w:r>
          </w:p>
        </w:tc>
      </w:tr>
      <w:tr w:rsidR="0079537D" w14:paraId="0F90D35A" w14:textId="77777777" w:rsidTr="0079537D">
        <w:trPr>
          <w:trHeight w:val="335"/>
        </w:trPr>
        <w:tc>
          <w:tcPr>
            <w:tcW w:w="4678" w:type="dxa"/>
            <w:tcBorders>
              <w:top w:val="nil"/>
              <w:left w:val="nil"/>
              <w:bottom w:val="nil"/>
              <w:right w:val="nil"/>
            </w:tcBorders>
          </w:tcPr>
          <w:p w14:paraId="17E8ECD7" w14:textId="77777777" w:rsidR="00241DE6" w:rsidRPr="00DF1BDA" w:rsidRDefault="00241DE6">
            <w:pPr>
              <w:autoSpaceDE w:val="0"/>
              <w:autoSpaceDN w:val="0"/>
              <w:adjustRightInd w:val="0"/>
              <w:jc w:val="left"/>
              <w:rPr>
                <w:rFonts w:asciiTheme="minorEastAsia" w:hAnsiTheme="minorEastAsia" w:cs="Calibri"/>
                <w:color w:val="000000"/>
                <w:kern w:val="0"/>
                <w:sz w:val="20"/>
                <w:szCs w:val="20"/>
              </w:rPr>
            </w:pPr>
            <w:r w:rsidRPr="00DF1BDA">
              <w:rPr>
                <w:rFonts w:asciiTheme="minorEastAsia" w:hAnsiTheme="minorEastAsia" w:cs="Calibri"/>
                <w:color w:val="000000"/>
                <w:kern w:val="0"/>
                <w:sz w:val="20"/>
                <w:szCs w:val="20"/>
              </w:rPr>
              <w:t>固定資産</w:t>
            </w:r>
          </w:p>
        </w:tc>
        <w:tc>
          <w:tcPr>
            <w:tcW w:w="992" w:type="dxa"/>
            <w:tcBorders>
              <w:top w:val="nil"/>
              <w:left w:val="nil"/>
              <w:bottom w:val="nil"/>
              <w:right w:val="nil"/>
            </w:tcBorders>
          </w:tcPr>
          <w:p w14:paraId="5DD2A51B"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562,388</w:t>
            </w:r>
          </w:p>
        </w:tc>
        <w:tc>
          <w:tcPr>
            <w:tcW w:w="993" w:type="dxa"/>
            <w:tcBorders>
              <w:top w:val="nil"/>
              <w:left w:val="nil"/>
              <w:bottom w:val="nil"/>
              <w:right w:val="nil"/>
            </w:tcBorders>
          </w:tcPr>
          <w:p w14:paraId="7514F511"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570,632</w:t>
            </w:r>
          </w:p>
        </w:tc>
        <w:tc>
          <w:tcPr>
            <w:tcW w:w="992" w:type="dxa"/>
            <w:tcBorders>
              <w:top w:val="nil"/>
              <w:left w:val="nil"/>
              <w:bottom w:val="nil"/>
              <w:right w:val="nil"/>
            </w:tcBorders>
          </w:tcPr>
          <w:p w14:paraId="400A7B78"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574,356</w:t>
            </w:r>
          </w:p>
        </w:tc>
        <w:tc>
          <w:tcPr>
            <w:tcW w:w="1134" w:type="dxa"/>
            <w:tcBorders>
              <w:top w:val="nil"/>
              <w:left w:val="nil"/>
              <w:bottom w:val="nil"/>
              <w:right w:val="nil"/>
            </w:tcBorders>
          </w:tcPr>
          <w:p w14:paraId="6D2F92D1"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609,619</w:t>
            </w:r>
          </w:p>
        </w:tc>
        <w:tc>
          <w:tcPr>
            <w:tcW w:w="1134" w:type="dxa"/>
            <w:tcBorders>
              <w:top w:val="nil"/>
              <w:left w:val="nil"/>
              <w:bottom w:val="nil"/>
              <w:right w:val="nil"/>
            </w:tcBorders>
          </w:tcPr>
          <w:p w14:paraId="55204F2A"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625,482</w:t>
            </w:r>
          </w:p>
        </w:tc>
        <w:tc>
          <w:tcPr>
            <w:tcW w:w="1134" w:type="dxa"/>
            <w:tcBorders>
              <w:top w:val="nil"/>
              <w:left w:val="nil"/>
              <w:bottom w:val="nil"/>
              <w:right w:val="nil"/>
            </w:tcBorders>
          </w:tcPr>
          <w:p w14:paraId="5389E62F"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662,170</w:t>
            </w:r>
          </w:p>
        </w:tc>
        <w:tc>
          <w:tcPr>
            <w:tcW w:w="1134" w:type="dxa"/>
            <w:tcBorders>
              <w:top w:val="nil"/>
              <w:left w:val="nil"/>
              <w:bottom w:val="nil"/>
              <w:right w:val="nil"/>
            </w:tcBorders>
          </w:tcPr>
          <w:p w14:paraId="6C507070"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674,001</w:t>
            </w:r>
          </w:p>
        </w:tc>
        <w:tc>
          <w:tcPr>
            <w:tcW w:w="1134" w:type="dxa"/>
            <w:tcBorders>
              <w:top w:val="nil"/>
              <w:left w:val="nil"/>
              <w:bottom w:val="nil"/>
              <w:right w:val="nil"/>
            </w:tcBorders>
          </w:tcPr>
          <w:p w14:paraId="64F670F2"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693,910</w:t>
            </w:r>
          </w:p>
        </w:tc>
        <w:tc>
          <w:tcPr>
            <w:tcW w:w="1134" w:type="dxa"/>
            <w:tcBorders>
              <w:top w:val="nil"/>
              <w:left w:val="nil"/>
              <w:bottom w:val="nil"/>
              <w:right w:val="nil"/>
            </w:tcBorders>
          </w:tcPr>
          <w:p w14:paraId="5D57E248" w14:textId="77777777" w:rsidR="00241DE6" w:rsidRPr="00C74F0E" w:rsidRDefault="00241DE6">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728,851</w:t>
            </w:r>
          </w:p>
        </w:tc>
      </w:tr>
      <w:tr w:rsidR="0079537D" w14:paraId="4FC05A93" w14:textId="77777777" w:rsidTr="0079537D">
        <w:trPr>
          <w:trHeight w:val="335"/>
        </w:trPr>
        <w:tc>
          <w:tcPr>
            <w:tcW w:w="4678" w:type="dxa"/>
            <w:tcBorders>
              <w:top w:val="nil"/>
              <w:left w:val="nil"/>
              <w:bottom w:val="nil"/>
              <w:right w:val="nil"/>
            </w:tcBorders>
          </w:tcPr>
          <w:p w14:paraId="4208EC73" w14:textId="77777777" w:rsidR="00241DE6" w:rsidRPr="00DF1BDA" w:rsidRDefault="00241DE6">
            <w:pPr>
              <w:autoSpaceDE w:val="0"/>
              <w:autoSpaceDN w:val="0"/>
              <w:adjustRightInd w:val="0"/>
              <w:jc w:val="left"/>
              <w:rPr>
                <w:rFonts w:asciiTheme="minorEastAsia" w:hAnsiTheme="minorEastAsia" w:cs="ＭＳ Ｐゴシック"/>
                <w:color w:val="000000"/>
                <w:kern w:val="0"/>
                <w:sz w:val="20"/>
                <w:szCs w:val="20"/>
              </w:rPr>
            </w:pPr>
            <w:r w:rsidRPr="00DF1BDA">
              <w:rPr>
                <w:rFonts w:asciiTheme="minorEastAsia" w:hAnsiTheme="minorEastAsia" w:cs="ＭＳ Ｐゴシック" w:hint="eastAsia"/>
                <w:color w:val="000000"/>
                <w:kern w:val="0"/>
                <w:sz w:val="20"/>
                <w:szCs w:val="20"/>
              </w:rPr>
              <w:t xml:space="preserve">　</w:t>
            </w:r>
            <w:r w:rsidRPr="00DF1BDA">
              <w:rPr>
                <w:rFonts w:asciiTheme="minorEastAsia" w:hAnsiTheme="minorEastAsia" w:cs="ＭＳ Ｐゴシック"/>
                <w:color w:val="000000"/>
                <w:kern w:val="0"/>
                <w:sz w:val="20"/>
                <w:szCs w:val="20"/>
              </w:rPr>
              <w:t xml:space="preserve"> </w:t>
            </w:r>
            <w:r w:rsidRPr="00DF1BDA">
              <w:rPr>
                <w:rFonts w:asciiTheme="minorEastAsia" w:hAnsiTheme="minorEastAsia" w:cs="ＭＳ Ｐゴシック" w:hint="eastAsia"/>
                <w:color w:val="000000"/>
                <w:kern w:val="0"/>
                <w:sz w:val="20"/>
                <w:szCs w:val="20"/>
              </w:rPr>
              <w:t>建物・構築物</w:t>
            </w:r>
          </w:p>
        </w:tc>
        <w:tc>
          <w:tcPr>
            <w:tcW w:w="992" w:type="dxa"/>
            <w:tcBorders>
              <w:top w:val="nil"/>
              <w:left w:val="nil"/>
              <w:bottom w:val="nil"/>
              <w:right w:val="nil"/>
            </w:tcBorders>
          </w:tcPr>
          <w:p w14:paraId="6B63DFED"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274,116</w:t>
            </w:r>
          </w:p>
        </w:tc>
        <w:tc>
          <w:tcPr>
            <w:tcW w:w="993" w:type="dxa"/>
            <w:tcBorders>
              <w:top w:val="nil"/>
              <w:left w:val="nil"/>
              <w:bottom w:val="nil"/>
              <w:right w:val="nil"/>
            </w:tcBorders>
          </w:tcPr>
          <w:p w14:paraId="7192735E"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272,805</w:t>
            </w:r>
          </w:p>
        </w:tc>
        <w:tc>
          <w:tcPr>
            <w:tcW w:w="992" w:type="dxa"/>
            <w:tcBorders>
              <w:top w:val="nil"/>
              <w:left w:val="nil"/>
              <w:bottom w:val="nil"/>
              <w:right w:val="nil"/>
            </w:tcBorders>
          </w:tcPr>
          <w:p w14:paraId="1A60C91F"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271,185</w:t>
            </w:r>
          </w:p>
        </w:tc>
        <w:tc>
          <w:tcPr>
            <w:tcW w:w="1134" w:type="dxa"/>
            <w:tcBorders>
              <w:top w:val="nil"/>
              <w:left w:val="nil"/>
              <w:bottom w:val="nil"/>
              <w:right w:val="nil"/>
            </w:tcBorders>
          </w:tcPr>
          <w:p w14:paraId="0E107A5D"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270,971</w:t>
            </w:r>
          </w:p>
        </w:tc>
        <w:tc>
          <w:tcPr>
            <w:tcW w:w="1134" w:type="dxa"/>
            <w:tcBorders>
              <w:top w:val="nil"/>
              <w:left w:val="nil"/>
              <w:bottom w:val="nil"/>
              <w:right w:val="nil"/>
            </w:tcBorders>
          </w:tcPr>
          <w:p w14:paraId="2932FBEE"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268,469</w:t>
            </w:r>
          </w:p>
        </w:tc>
        <w:tc>
          <w:tcPr>
            <w:tcW w:w="1134" w:type="dxa"/>
            <w:tcBorders>
              <w:top w:val="nil"/>
              <w:left w:val="nil"/>
              <w:bottom w:val="nil"/>
              <w:right w:val="nil"/>
            </w:tcBorders>
          </w:tcPr>
          <w:p w14:paraId="23F7B181"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291,916</w:t>
            </w:r>
          </w:p>
        </w:tc>
        <w:tc>
          <w:tcPr>
            <w:tcW w:w="1134" w:type="dxa"/>
            <w:tcBorders>
              <w:top w:val="nil"/>
              <w:left w:val="nil"/>
              <w:bottom w:val="nil"/>
              <w:right w:val="nil"/>
            </w:tcBorders>
          </w:tcPr>
          <w:p w14:paraId="706165BF"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287,720</w:t>
            </w:r>
          </w:p>
        </w:tc>
        <w:tc>
          <w:tcPr>
            <w:tcW w:w="1134" w:type="dxa"/>
            <w:tcBorders>
              <w:top w:val="nil"/>
              <w:left w:val="nil"/>
              <w:bottom w:val="nil"/>
              <w:right w:val="nil"/>
            </w:tcBorders>
          </w:tcPr>
          <w:p w14:paraId="63893FF4"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291,012</w:t>
            </w:r>
          </w:p>
        </w:tc>
        <w:tc>
          <w:tcPr>
            <w:tcW w:w="1134" w:type="dxa"/>
            <w:tcBorders>
              <w:top w:val="nil"/>
              <w:left w:val="nil"/>
              <w:bottom w:val="nil"/>
              <w:right w:val="nil"/>
            </w:tcBorders>
          </w:tcPr>
          <w:p w14:paraId="23675F51"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286,932</w:t>
            </w:r>
          </w:p>
        </w:tc>
      </w:tr>
      <w:tr w:rsidR="0079537D" w14:paraId="62CD4F84" w14:textId="77777777" w:rsidTr="0079537D">
        <w:trPr>
          <w:trHeight w:val="335"/>
        </w:trPr>
        <w:tc>
          <w:tcPr>
            <w:tcW w:w="4678" w:type="dxa"/>
            <w:tcBorders>
              <w:top w:val="nil"/>
              <w:left w:val="nil"/>
              <w:bottom w:val="nil"/>
              <w:right w:val="nil"/>
            </w:tcBorders>
          </w:tcPr>
          <w:p w14:paraId="215FA36E" w14:textId="77777777" w:rsidR="00241DE6" w:rsidRPr="00DF1BDA" w:rsidRDefault="00241DE6">
            <w:pPr>
              <w:autoSpaceDE w:val="0"/>
              <w:autoSpaceDN w:val="0"/>
              <w:adjustRightInd w:val="0"/>
              <w:jc w:val="left"/>
              <w:rPr>
                <w:rFonts w:asciiTheme="minorEastAsia" w:hAnsiTheme="minorEastAsia" w:cs="ＭＳ Ｐゴシック"/>
                <w:color w:val="000000"/>
                <w:kern w:val="0"/>
                <w:sz w:val="20"/>
                <w:szCs w:val="20"/>
              </w:rPr>
            </w:pPr>
            <w:r w:rsidRPr="00DF1BDA">
              <w:rPr>
                <w:rFonts w:asciiTheme="minorEastAsia" w:hAnsiTheme="minorEastAsia" w:cs="ＭＳ Ｐゴシック" w:hint="eastAsia"/>
                <w:color w:val="000000"/>
                <w:kern w:val="0"/>
                <w:sz w:val="20"/>
                <w:szCs w:val="20"/>
              </w:rPr>
              <w:t xml:space="preserve">　</w:t>
            </w:r>
            <w:r w:rsidRPr="00DF1BDA">
              <w:rPr>
                <w:rFonts w:asciiTheme="minorEastAsia" w:hAnsiTheme="minorEastAsia" w:cs="ＭＳ Ｐゴシック"/>
                <w:color w:val="000000"/>
                <w:kern w:val="0"/>
                <w:sz w:val="20"/>
                <w:szCs w:val="20"/>
              </w:rPr>
              <w:t xml:space="preserve"> </w:t>
            </w:r>
            <w:r w:rsidRPr="00DF1BDA">
              <w:rPr>
                <w:rFonts w:asciiTheme="minorEastAsia" w:hAnsiTheme="minorEastAsia" w:cs="ＭＳ Ｐゴシック" w:hint="eastAsia"/>
                <w:color w:val="000000"/>
                <w:kern w:val="0"/>
                <w:sz w:val="20"/>
                <w:szCs w:val="20"/>
              </w:rPr>
              <w:t>建設仮勘定</w:t>
            </w:r>
          </w:p>
        </w:tc>
        <w:tc>
          <w:tcPr>
            <w:tcW w:w="992" w:type="dxa"/>
            <w:tcBorders>
              <w:top w:val="nil"/>
              <w:left w:val="nil"/>
              <w:bottom w:val="nil"/>
              <w:right w:val="nil"/>
            </w:tcBorders>
          </w:tcPr>
          <w:p w14:paraId="6D0D6742"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42,122</w:t>
            </w:r>
          </w:p>
        </w:tc>
        <w:tc>
          <w:tcPr>
            <w:tcW w:w="993" w:type="dxa"/>
            <w:tcBorders>
              <w:top w:val="nil"/>
              <w:left w:val="nil"/>
              <w:bottom w:val="nil"/>
              <w:right w:val="nil"/>
            </w:tcBorders>
          </w:tcPr>
          <w:p w14:paraId="363F46F0"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49,643</w:t>
            </w:r>
          </w:p>
        </w:tc>
        <w:tc>
          <w:tcPr>
            <w:tcW w:w="992" w:type="dxa"/>
            <w:tcBorders>
              <w:top w:val="nil"/>
              <w:left w:val="nil"/>
              <w:bottom w:val="nil"/>
              <w:right w:val="nil"/>
            </w:tcBorders>
          </w:tcPr>
          <w:p w14:paraId="349137AF"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62,567</w:t>
            </w:r>
          </w:p>
        </w:tc>
        <w:tc>
          <w:tcPr>
            <w:tcW w:w="1134" w:type="dxa"/>
            <w:tcBorders>
              <w:top w:val="nil"/>
              <w:left w:val="nil"/>
              <w:bottom w:val="nil"/>
              <w:right w:val="nil"/>
            </w:tcBorders>
          </w:tcPr>
          <w:p w14:paraId="42120DE4"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82,342</w:t>
            </w:r>
          </w:p>
        </w:tc>
        <w:tc>
          <w:tcPr>
            <w:tcW w:w="1134" w:type="dxa"/>
            <w:tcBorders>
              <w:top w:val="nil"/>
              <w:left w:val="nil"/>
              <w:bottom w:val="nil"/>
              <w:right w:val="nil"/>
            </w:tcBorders>
          </w:tcPr>
          <w:p w14:paraId="49ABAB16"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105,338</w:t>
            </w:r>
          </w:p>
        </w:tc>
        <w:tc>
          <w:tcPr>
            <w:tcW w:w="1134" w:type="dxa"/>
            <w:tcBorders>
              <w:top w:val="nil"/>
              <w:left w:val="nil"/>
              <w:bottom w:val="nil"/>
              <w:right w:val="nil"/>
            </w:tcBorders>
          </w:tcPr>
          <w:p w14:paraId="59CF3ADD"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106,732</w:t>
            </w:r>
          </w:p>
        </w:tc>
        <w:tc>
          <w:tcPr>
            <w:tcW w:w="1134" w:type="dxa"/>
            <w:tcBorders>
              <w:top w:val="nil"/>
              <w:left w:val="nil"/>
              <w:bottom w:val="nil"/>
              <w:right w:val="nil"/>
            </w:tcBorders>
          </w:tcPr>
          <w:p w14:paraId="7E12223F"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121,768</w:t>
            </w:r>
          </w:p>
        </w:tc>
        <w:tc>
          <w:tcPr>
            <w:tcW w:w="1134" w:type="dxa"/>
            <w:tcBorders>
              <w:top w:val="nil"/>
              <w:left w:val="nil"/>
              <w:bottom w:val="nil"/>
              <w:right w:val="nil"/>
            </w:tcBorders>
          </w:tcPr>
          <w:p w14:paraId="18B8D5A8"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152,165</w:t>
            </w:r>
          </w:p>
        </w:tc>
        <w:tc>
          <w:tcPr>
            <w:tcW w:w="1134" w:type="dxa"/>
            <w:tcBorders>
              <w:top w:val="nil"/>
              <w:left w:val="nil"/>
              <w:bottom w:val="nil"/>
              <w:right w:val="nil"/>
            </w:tcBorders>
          </w:tcPr>
          <w:p w14:paraId="05E950CC"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183,553</w:t>
            </w:r>
          </w:p>
        </w:tc>
      </w:tr>
      <w:tr w:rsidR="0079537D" w14:paraId="1359F956" w14:textId="77777777" w:rsidTr="0079537D">
        <w:trPr>
          <w:trHeight w:val="335"/>
        </w:trPr>
        <w:tc>
          <w:tcPr>
            <w:tcW w:w="4678" w:type="dxa"/>
            <w:tcBorders>
              <w:top w:val="nil"/>
              <w:left w:val="nil"/>
              <w:bottom w:val="single" w:sz="6" w:space="0" w:color="000000"/>
              <w:right w:val="nil"/>
            </w:tcBorders>
          </w:tcPr>
          <w:p w14:paraId="797057A3" w14:textId="77777777" w:rsidR="00241DE6" w:rsidRPr="00DF1BDA" w:rsidRDefault="00241DE6">
            <w:pPr>
              <w:autoSpaceDE w:val="0"/>
              <w:autoSpaceDN w:val="0"/>
              <w:adjustRightInd w:val="0"/>
              <w:jc w:val="left"/>
              <w:rPr>
                <w:rFonts w:asciiTheme="minorEastAsia" w:hAnsiTheme="minorEastAsia" w:cs="Calibri"/>
                <w:color w:val="000000"/>
                <w:kern w:val="0"/>
                <w:sz w:val="20"/>
                <w:szCs w:val="20"/>
              </w:rPr>
            </w:pPr>
            <w:r w:rsidRPr="00DF1BDA">
              <w:rPr>
                <w:rFonts w:asciiTheme="minorEastAsia" w:hAnsiTheme="minorEastAsia" w:cs="Calibri"/>
                <w:color w:val="000000"/>
                <w:kern w:val="0"/>
                <w:sz w:val="20"/>
                <w:szCs w:val="20"/>
              </w:rPr>
              <w:t>総資産</w:t>
            </w:r>
          </w:p>
        </w:tc>
        <w:tc>
          <w:tcPr>
            <w:tcW w:w="992" w:type="dxa"/>
            <w:tcBorders>
              <w:top w:val="nil"/>
              <w:left w:val="nil"/>
              <w:bottom w:val="single" w:sz="6" w:space="0" w:color="auto"/>
              <w:right w:val="nil"/>
            </w:tcBorders>
          </w:tcPr>
          <w:p w14:paraId="65DEFC80"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911,444</w:t>
            </w:r>
          </w:p>
        </w:tc>
        <w:tc>
          <w:tcPr>
            <w:tcW w:w="993" w:type="dxa"/>
            <w:tcBorders>
              <w:top w:val="nil"/>
              <w:left w:val="nil"/>
              <w:bottom w:val="single" w:sz="6" w:space="0" w:color="auto"/>
              <w:right w:val="nil"/>
            </w:tcBorders>
          </w:tcPr>
          <w:p w14:paraId="3689B71B"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943,750</w:t>
            </w:r>
          </w:p>
        </w:tc>
        <w:tc>
          <w:tcPr>
            <w:tcW w:w="992" w:type="dxa"/>
            <w:tcBorders>
              <w:top w:val="nil"/>
              <w:left w:val="nil"/>
              <w:bottom w:val="single" w:sz="6" w:space="0" w:color="auto"/>
              <w:right w:val="nil"/>
            </w:tcBorders>
          </w:tcPr>
          <w:p w14:paraId="5C426345"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961,246</w:t>
            </w:r>
          </w:p>
        </w:tc>
        <w:tc>
          <w:tcPr>
            <w:tcW w:w="1134" w:type="dxa"/>
            <w:tcBorders>
              <w:top w:val="nil"/>
              <w:left w:val="nil"/>
              <w:bottom w:val="single" w:sz="6" w:space="0" w:color="auto"/>
              <w:right w:val="nil"/>
            </w:tcBorders>
          </w:tcPr>
          <w:p w14:paraId="79E72D72"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1,051,454</w:t>
            </w:r>
          </w:p>
        </w:tc>
        <w:tc>
          <w:tcPr>
            <w:tcW w:w="1134" w:type="dxa"/>
            <w:tcBorders>
              <w:top w:val="nil"/>
              <w:left w:val="nil"/>
              <w:bottom w:val="single" w:sz="6" w:space="0" w:color="auto"/>
              <w:right w:val="nil"/>
            </w:tcBorders>
          </w:tcPr>
          <w:p w14:paraId="34C77762"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1,042,482</w:t>
            </w:r>
          </w:p>
        </w:tc>
        <w:tc>
          <w:tcPr>
            <w:tcW w:w="1134" w:type="dxa"/>
            <w:tcBorders>
              <w:top w:val="nil"/>
              <w:left w:val="nil"/>
              <w:bottom w:val="single" w:sz="6" w:space="0" w:color="auto"/>
              <w:right w:val="nil"/>
            </w:tcBorders>
          </w:tcPr>
          <w:p w14:paraId="633BC5F0"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1,064,185</w:t>
            </w:r>
          </w:p>
        </w:tc>
        <w:tc>
          <w:tcPr>
            <w:tcW w:w="1134" w:type="dxa"/>
            <w:tcBorders>
              <w:top w:val="nil"/>
              <w:left w:val="nil"/>
              <w:bottom w:val="single" w:sz="6" w:space="0" w:color="auto"/>
              <w:right w:val="nil"/>
            </w:tcBorders>
          </w:tcPr>
          <w:p w14:paraId="07257224"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1,090,877</w:t>
            </w:r>
          </w:p>
        </w:tc>
        <w:tc>
          <w:tcPr>
            <w:tcW w:w="1134" w:type="dxa"/>
            <w:tcBorders>
              <w:top w:val="nil"/>
              <w:left w:val="nil"/>
              <w:bottom w:val="single" w:sz="6" w:space="0" w:color="auto"/>
              <w:right w:val="nil"/>
            </w:tcBorders>
          </w:tcPr>
          <w:p w14:paraId="42987C69"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1,010,651</w:t>
            </w:r>
          </w:p>
        </w:tc>
        <w:tc>
          <w:tcPr>
            <w:tcW w:w="1134" w:type="dxa"/>
            <w:tcBorders>
              <w:top w:val="nil"/>
              <w:left w:val="nil"/>
              <w:bottom w:val="single" w:sz="6" w:space="0" w:color="auto"/>
              <w:right w:val="nil"/>
            </w:tcBorders>
          </w:tcPr>
          <w:p w14:paraId="6EE99DDC" w14:textId="77777777" w:rsidR="00241DE6" w:rsidRPr="00C74F0E" w:rsidRDefault="00241DE6">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963,336</w:t>
            </w:r>
          </w:p>
        </w:tc>
      </w:tr>
    </w:tbl>
    <w:p w14:paraId="611A6585" w14:textId="5FA57BBC" w:rsidR="00BA6333" w:rsidRPr="00E0409C" w:rsidRDefault="00E0409C">
      <w:pPr>
        <w:widowControl/>
        <w:jc w:val="left"/>
      </w:pPr>
      <w:r>
        <w:rPr>
          <w:rFonts w:hint="eastAsia"/>
        </w:rPr>
        <w:t>出典：オリエンタルランド</w:t>
      </w:r>
      <w:r w:rsidR="00AF3BD8">
        <w:rPr>
          <w:rFonts w:hint="eastAsia"/>
        </w:rPr>
        <w:t>社</w:t>
      </w:r>
      <w:r>
        <w:rPr>
          <w:rFonts w:hint="eastAsia"/>
        </w:rPr>
        <w:t>「四半期報告書」より筆者作成。</w:t>
      </w:r>
      <w:r w:rsidR="00B15EF4">
        <w:rPr>
          <w:rFonts w:hint="eastAsia"/>
        </w:rPr>
        <w:t>単位は百万円。</w:t>
      </w:r>
    </w:p>
    <w:p w14:paraId="473E677F" w14:textId="77777777" w:rsidR="00E0409C" w:rsidRPr="00DF1BDA" w:rsidRDefault="00E0409C">
      <w:pPr>
        <w:widowControl/>
        <w:jc w:val="left"/>
      </w:pPr>
    </w:p>
    <w:p w14:paraId="02459972" w14:textId="1EFF9C13" w:rsidR="00DF1BDA" w:rsidRDefault="00DF1BDA">
      <w:pPr>
        <w:widowControl/>
        <w:jc w:val="left"/>
      </w:pPr>
      <w:r>
        <w:rPr>
          <w:rFonts w:hint="eastAsia"/>
        </w:rPr>
        <w:t>表9　オリエンタルランド社の貸借対照表：負債・純資産の部（四半期）</w:t>
      </w:r>
    </w:p>
    <w:tbl>
      <w:tblPr>
        <w:tblW w:w="14459" w:type="dxa"/>
        <w:tblCellMar>
          <w:left w:w="99" w:type="dxa"/>
          <w:right w:w="99" w:type="dxa"/>
        </w:tblCellMar>
        <w:tblLook w:val="04A0" w:firstRow="1" w:lastRow="0" w:firstColumn="1" w:lastColumn="0" w:noHBand="0" w:noVBand="1"/>
      </w:tblPr>
      <w:tblGrid>
        <w:gridCol w:w="4678"/>
        <w:gridCol w:w="992"/>
        <w:gridCol w:w="993"/>
        <w:gridCol w:w="992"/>
        <w:gridCol w:w="1134"/>
        <w:gridCol w:w="1134"/>
        <w:gridCol w:w="1134"/>
        <w:gridCol w:w="1134"/>
        <w:gridCol w:w="1134"/>
        <w:gridCol w:w="1134"/>
      </w:tblGrid>
      <w:tr w:rsidR="0079537D" w:rsidRPr="003451DC" w14:paraId="01091759" w14:textId="77777777" w:rsidTr="0079537D">
        <w:trPr>
          <w:trHeight w:val="330"/>
        </w:trPr>
        <w:tc>
          <w:tcPr>
            <w:tcW w:w="4678" w:type="dxa"/>
            <w:tcBorders>
              <w:top w:val="single" w:sz="4" w:space="0" w:color="000000"/>
              <w:left w:val="nil"/>
              <w:bottom w:val="single" w:sz="4" w:space="0" w:color="000000"/>
              <w:right w:val="nil"/>
            </w:tcBorders>
            <w:shd w:val="clear" w:color="auto" w:fill="auto"/>
            <w:noWrap/>
            <w:vAlign w:val="center"/>
            <w:hideMark/>
          </w:tcPr>
          <w:p w14:paraId="0DC85E9B" w14:textId="67F5EF96" w:rsidR="003451DC" w:rsidRPr="00DF1BDA" w:rsidRDefault="00DF1BDA" w:rsidP="003451DC">
            <w:pPr>
              <w:widowControl/>
              <w:jc w:val="left"/>
              <w:rPr>
                <w:rFonts w:ascii="Calibri" w:eastAsia="ＭＳ Ｐゴシック" w:hAnsi="Calibri" w:cs="Calibri"/>
                <w:b/>
                <w:bCs/>
                <w:color w:val="000000"/>
                <w:kern w:val="0"/>
                <w:sz w:val="20"/>
                <w:szCs w:val="20"/>
              </w:rPr>
            </w:pPr>
            <w:r w:rsidRPr="00DF1BDA">
              <w:rPr>
                <w:rFonts w:asciiTheme="minorEastAsia" w:hAnsiTheme="minorEastAsia" w:cs="Calibri"/>
                <w:b/>
                <w:bCs/>
                <w:color w:val="000000"/>
                <w:kern w:val="0"/>
                <w:sz w:val="20"/>
                <w:szCs w:val="20"/>
              </w:rPr>
              <w:t>負債・純資産</w:t>
            </w:r>
            <w:r w:rsidRPr="00DF1BDA">
              <w:rPr>
                <w:rFonts w:asciiTheme="minorEastAsia" w:hAnsiTheme="minorEastAsia" w:cs="Calibri" w:hint="eastAsia"/>
                <w:b/>
                <w:bCs/>
                <w:color w:val="000000"/>
                <w:kern w:val="0"/>
                <w:sz w:val="20"/>
                <w:szCs w:val="20"/>
              </w:rPr>
              <w:t>の部</w:t>
            </w:r>
          </w:p>
        </w:tc>
        <w:tc>
          <w:tcPr>
            <w:tcW w:w="992" w:type="dxa"/>
            <w:tcBorders>
              <w:top w:val="single" w:sz="4" w:space="0" w:color="000000"/>
              <w:left w:val="nil"/>
              <w:bottom w:val="single" w:sz="4" w:space="0" w:color="000000"/>
              <w:right w:val="nil"/>
            </w:tcBorders>
            <w:shd w:val="clear" w:color="auto" w:fill="auto"/>
            <w:noWrap/>
            <w:vAlign w:val="center"/>
            <w:hideMark/>
          </w:tcPr>
          <w:p w14:paraId="5AE20A91" w14:textId="6DA54034" w:rsidR="003451DC" w:rsidRPr="00C74F0E" w:rsidRDefault="003451DC" w:rsidP="003451DC">
            <w:pPr>
              <w:widowControl/>
              <w:jc w:val="center"/>
              <w:rPr>
                <w:rFonts w:ascii="Century" w:eastAsia="ＭＳ Ｐゴシック" w:hAnsi="Century" w:cs="Arial"/>
                <w:b/>
                <w:bCs/>
                <w:color w:val="000000"/>
                <w:kern w:val="0"/>
                <w:sz w:val="20"/>
                <w:szCs w:val="20"/>
              </w:rPr>
            </w:pPr>
            <w:r w:rsidRPr="00C74F0E">
              <w:rPr>
                <w:rFonts w:ascii="Century" w:eastAsia="ＭＳ Ｐゴシック" w:hAnsi="Century" w:cs="Arial"/>
                <w:b/>
                <w:bCs/>
                <w:color w:val="000000"/>
                <w:kern w:val="0"/>
                <w:sz w:val="20"/>
                <w:szCs w:val="20"/>
              </w:rPr>
              <w:t>1</w:t>
            </w:r>
            <w:r w:rsidR="00AD30B9" w:rsidRPr="00C74F0E">
              <w:rPr>
                <w:rFonts w:ascii="Century" w:eastAsia="ＭＳ Ｐゴシック" w:hAnsi="Century" w:cs="Arial"/>
                <w:b/>
                <w:bCs/>
                <w:color w:val="000000"/>
                <w:kern w:val="0"/>
                <w:sz w:val="20"/>
                <w:szCs w:val="20"/>
              </w:rPr>
              <w:t>9</w:t>
            </w:r>
            <w:r w:rsidRPr="00C74F0E">
              <w:rPr>
                <w:rFonts w:ascii="Century" w:eastAsia="ＭＳ Ｐゴシック" w:hAnsi="Century" w:cs="Arial"/>
                <w:b/>
                <w:bCs/>
                <w:color w:val="000000"/>
                <w:kern w:val="0"/>
                <w:sz w:val="20"/>
                <w:szCs w:val="20"/>
              </w:rPr>
              <w:t>.Q1</w:t>
            </w:r>
          </w:p>
        </w:tc>
        <w:tc>
          <w:tcPr>
            <w:tcW w:w="993" w:type="dxa"/>
            <w:tcBorders>
              <w:top w:val="single" w:sz="4" w:space="0" w:color="000000"/>
              <w:left w:val="nil"/>
              <w:bottom w:val="single" w:sz="4" w:space="0" w:color="000000"/>
              <w:right w:val="nil"/>
            </w:tcBorders>
            <w:shd w:val="clear" w:color="auto" w:fill="auto"/>
            <w:noWrap/>
            <w:vAlign w:val="center"/>
            <w:hideMark/>
          </w:tcPr>
          <w:p w14:paraId="2CBC479A" w14:textId="59C322E3" w:rsidR="003451DC" w:rsidRPr="00C74F0E" w:rsidRDefault="003451DC" w:rsidP="003451DC">
            <w:pPr>
              <w:widowControl/>
              <w:jc w:val="center"/>
              <w:rPr>
                <w:rFonts w:ascii="Century" w:eastAsia="ＭＳ Ｐゴシック" w:hAnsi="Century" w:cs="Arial"/>
                <w:b/>
                <w:bCs/>
                <w:color w:val="000000"/>
                <w:kern w:val="0"/>
                <w:sz w:val="20"/>
                <w:szCs w:val="20"/>
              </w:rPr>
            </w:pPr>
            <w:r w:rsidRPr="00C74F0E">
              <w:rPr>
                <w:rFonts w:ascii="Century" w:eastAsia="ＭＳ Ｐゴシック" w:hAnsi="Century" w:cs="Arial"/>
                <w:b/>
                <w:bCs/>
                <w:color w:val="000000"/>
                <w:kern w:val="0"/>
                <w:sz w:val="20"/>
                <w:szCs w:val="20"/>
              </w:rPr>
              <w:t>1</w:t>
            </w:r>
            <w:r w:rsidR="00AD30B9" w:rsidRPr="00C74F0E">
              <w:rPr>
                <w:rFonts w:ascii="Century" w:eastAsia="ＭＳ Ｐゴシック" w:hAnsi="Century" w:cs="Arial"/>
                <w:b/>
                <w:bCs/>
                <w:color w:val="000000"/>
                <w:kern w:val="0"/>
                <w:sz w:val="20"/>
                <w:szCs w:val="20"/>
              </w:rPr>
              <w:t>9</w:t>
            </w:r>
            <w:r w:rsidRPr="00C74F0E">
              <w:rPr>
                <w:rFonts w:ascii="Century" w:eastAsia="ＭＳ Ｐゴシック" w:hAnsi="Century" w:cs="Arial"/>
                <w:b/>
                <w:bCs/>
                <w:color w:val="000000"/>
                <w:kern w:val="0"/>
                <w:sz w:val="20"/>
                <w:szCs w:val="20"/>
              </w:rPr>
              <w:t>.Q2</w:t>
            </w:r>
          </w:p>
        </w:tc>
        <w:tc>
          <w:tcPr>
            <w:tcW w:w="992" w:type="dxa"/>
            <w:tcBorders>
              <w:top w:val="single" w:sz="4" w:space="0" w:color="000000"/>
              <w:left w:val="nil"/>
              <w:bottom w:val="single" w:sz="4" w:space="0" w:color="000000"/>
              <w:right w:val="nil"/>
            </w:tcBorders>
            <w:shd w:val="clear" w:color="auto" w:fill="auto"/>
            <w:noWrap/>
            <w:vAlign w:val="center"/>
            <w:hideMark/>
          </w:tcPr>
          <w:p w14:paraId="4E139A23" w14:textId="579F62CD" w:rsidR="003451DC" w:rsidRPr="00C74F0E" w:rsidRDefault="003451DC" w:rsidP="003451DC">
            <w:pPr>
              <w:widowControl/>
              <w:jc w:val="center"/>
              <w:rPr>
                <w:rFonts w:ascii="Century" w:eastAsia="ＭＳ Ｐゴシック" w:hAnsi="Century" w:cs="Arial"/>
                <w:b/>
                <w:bCs/>
                <w:color w:val="000000"/>
                <w:kern w:val="0"/>
                <w:sz w:val="20"/>
                <w:szCs w:val="20"/>
              </w:rPr>
            </w:pPr>
            <w:r w:rsidRPr="00C74F0E">
              <w:rPr>
                <w:rFonts w:ascii="Century" w:eastAsia="ＭＳ Ｐゴシック" w:hAnsi="Century" w:cs="Arial"/>
                <w:b/>
                <w:bCs/>
                <w:color w:val="000000"/>
                <w:kern w:val="0"/>
                <w:sz w:val="20"/>
                <w:szCs w:val="20"/>
              </w:rPr>
              <w:t>1</w:t>
            </w:r>
            <w:r w:rsidR="00AD30B9" w:rsidRPr="00C74F0E">
              <w:rPr>
                <w:rFonts w:ascii="Century" w:eastAsia="ＭＳ Ｐゴシック" w:hAnsi="Century" w:cs="Arial"/>
                <w:b/>
                <w:bCs/>
                <w:color w:val="000000"/>
                <w:kern w:val="0"/>
                <w:sz w:val="20"/>
                <w:szCs w:val="20"/>
              </w:rPr>
              <w:t>9</w:t>
            </w:r>
            <w:r w:rsidRPr="00C74F0E">
              <w:rPr>
                <w:rFonts w:ascii="Century" w:eastAsia="ＭＳ Ｐゴシック" w:hAnsi="Century" w:cs="Arial"/>
                <w:b/>
                <w:bCs/>
                <w:color w:val="000000"/>
                <w:kern w:val="0"/>
                <w:sz w:val="20"/>
                <w:szCs w:val="20"/>
              </w:rPr>
              <w:t>.Q3</w:t>
            </w:r>
          </w:p>
        </w:tc>
        <w:tc>
          <w:tcPr>
            <w:tcW w:w="1134" w:type="dxa"/>
            <w:tcBorders>
              <w:top w:val="single" w:sz="4" w:space="0" w:color="000000"/>
              <w:left w:val="nil"/>
              <w:bottom w:val="single" w:sz="4" w:space="0" w:color="000000"/>
              <w:right w:val="nil"/>
            </w:tcBorders>
            <w:shd w:val="clear" w:color="auto" w:fill="auto"/>
            <w:noWrap/>
            <w:vAlign w:val="center"/>
            <w:hideMark/>
          </w:tcPr>
          <w:p w14:paraId="610D1D95" w14:textId="08C5F757" w:rsidR="003451DC" w:rsidRPr="00C74F0E" w:rsidRDefault="003451DC" w:rsidP="003451DC">
            <w:pPr>
              <w:widowControl/>
              <w:jc w:val="center"/>
              <w:rPr>
                <w:rFonts w:ascii="Century" w:eastAsia="ＭＳ Ｐゴシック" w:hAnsi="Century" w:cs="Arial"/>
                <w:b/>
                <w:bCs/>
                <w:color w:val="000000"/>
                <w:kern w:val="0"/>
                <w:sz w:val="20"/>
                <w:szCs w:val="20"/>
              </w:rPr>
            </w:pPr>
            <w:r w:rsidRPr="00C74F0E">
              <w:rPr>
                <w:rFonts w:ascii="Century" w:eastAsia="ＭＳ Ｐゴシック" w:hAnsi="Century" w:cs="Arial"/>
                <w:b/>
                <w:bCs/>
                <w:color w:val="000000"/>
                <w:kern w:val="0"/>
                <w:sz w:val="20"/>
                <w:szCs w:val="20"/>
              </w:rPr>
              <w:t>1</w:t>
            </w:r>
            <w:r w:rsidR="00AD30B9" w:rsidRPr="00C74F0E">
              <w:rPr>
                <w:rFonts w:ascii="Century" w:eastAsia="ＭＳ Ｐゴシック" w:hAnsi="Century" w:cs="Arial"/>
                <w:b/>
                <w:bCs/>
                <w:color w:val="000000"/>
                <w:kern w:val="0"/>
                <w:sz w:val="20"/>
                <w:szCs w:val="20"/>
              </w:rPr>
              <w:t>9</w:t>
            </w:r>
            <w:r w:rsidRPr="00C74F0E">
              <w:rPr>
                <w:rFonts w:ascii="Century" w:eastAsia="ＭＳ Ｐゴシック" w:hAnsi="Century" w:cs="Arial"/>
                <w:b/>
                <w:bCs/>
                <w:color w:val="000000"/>
                <w:kern w:val="0"/>
                <w:sz w:val="20"/>
                <w:szCs w:val="20"/>
              </w:rPr>
              <w:t>.Q4</w:t>
            </w:r>
          </w:p>
        </w:tc>
        <w:tc>
          <w:tcPr>
            <w:tcW w:w="1134" w:type="dxa"/>
            <w:tcBorders>
              <w:top w:val="single" w:sz="4" w:space="0" w:color="000000"/>
              <w:left w:val="nil"/>
              <w:bottom w:val="single" w:sz="4" w:space="0" w:color="000000"/>
              <w:right w:val="nil"/>
            </w:tcBorders>
            <w:shd w:val="clear" w:color="auto" w:fill="auto"/>
            <w:noWrap/>
            <w:vAlign w:val="center"/>
            <w:hideMark/>
          </w:tcPr>
          <w:p w14:paraId="4F34DA69" w14:textId="7188DD5B" w:rsidR="003451DC" w:rsidRPr="00C74F0E" w:rsidRDefault="00AD30B9" w:rsidP="003451DC">
            <w:pPr>
              <w:widowControl/>
              <w:jc w:val="center"/>
              <w:rPr>
                <w:rFonts w:ascii="Century" w:eastAsia="ＭＳ Ｐゴシック" w:hAnsi="Century" w:cs="Arial"/>
                <w:b/>
                <w:bCs/>
                <w:color w:val="000000"/>
                <w:kern w:val="0"/>
                <w:sz w:val="20"/>
                <w:szCs w:val="20"/>
              </w:rPr>
            </w:pPr>
            <w:r w:rsidRPr="00C74F0E">
              <w:rPr>
                <w:rFonts w:ascii="Century" w:eastAsia="ＭＳ Ｐゴシック" w:hAnsi="Century" w:cs="Arial"/>
                <w:b/>
                <w:bCs/>
                <w:color w:val="000000"/>
                <w:kern w:val="0"/>
                <w:sz w:val="20"/>
                <w:szCs w:val="20"/>
              </w:rPr>
              <w:t>20</w:t>
            </w:r>
            <w:r w:rsidR="003451DC" w:rsidRPr="00C74F0E">
              <w:rPr>
                <w:rFonts w:ascii="Century" w:eastAsia="ＭＳ Ｐゴシック" w:hAnsi="Century" w:cs="Arial"/>
                <w:b/>
                <w:bCs/>
                <w:color w:val="000000"/>
                <w:kern w:val="0"/>
                <w:sz w:val="20"/>
                <w:szCs w:val="20"/>
              </w:rPr>
              <w:t>.Q1</w:t>
            </w:r>
          </w:p>
        </w:tc>
        <w:tc>
          <w:tcPr>
            <w:tcW w:w="1134" w:type="dxa"/>
            <w:tcBorders>
              <w:top w:val="single" w:sz="4" w:space="0" w:color="000000"/>
              <w:left w:val="nil"/>
              <w:bottom w:val="single" w:sz="4" w:space="0" w:color="000000"/>
              <w:right w:val="nil"/>
            </w:tcBorders>
            <w:shd w:val="clear" w:color="auto" w:fill="auto"/>
            <w:noWrap/>
            <w:vAlign w:val="center"/>
            <w:hideMark/>
          </w:tcPr>
          <w:p w14:paraId="39ABBC98" w14:textId="21C5D270" w:rsidR="003451DC" w:rsidRPr="00C74F0E" w:rsidRDefault="00AD30B9" w:rsidP="003451DC">
            <w:pPr>
              <w:widowControl/>
              <w:jc w:val="center"/>
              <w:rPr>
                <w:rFonts w:ascii="Century" w:eastAsia="ＭＳ Ｐゴシック" w:hAnsi="Century" w:cs="Arial"/>
                <w:b/>
                <w:bCs/>
                <w:color w:val="000000"/>
                <w:kern w:val="0"/>
                <w:sz w:val="20"/>
                <w:szCs w:val="20"/>
              </w:rPr>
            </w:pPr>
            <w:r w:rsidRPr="00C74F0E">
              <w:rPr>
                <w:rFonts w:ascii="Century" w:eastAsia="ＭＳ Ｐゴシック" w:hAnsi="Century" w:cs="Arial"/>
                <w:b/>
                <w:bCs/>
                <w:color w:val="000000"/>
                <w:kern w:val="0"/>
                <w:sz w:val="20"/>
                <w:szCs w:val="20"/>
              </w:rPr>
              <w:t>20</w:t>
            </w:r>
            <w:r w:rsidR="003451DC" w:rsidRPr="00C74F0E">
              <w:rPr>
                <w:rFonts w:ascii="Century" w:eastAsia="ＭＳ Ｐゴシック" w:hAnsi="Century" w:cs="Arial"/>
                <w:b/>
                <w:bCs/>
                <w:color w:val="000000"/>
                <w:kern w:val="0"/>
                <w:sz w:val="20"/>
                <w:szCs w:val="20"/>
              </w:rPr>
              <w:t>.Q2</w:t>
            </w:r>
          </w:p>
        </w:tc>
        <w:tc>
          <w:tcPr>
            <w:tcW w:w="1134" w:type="dxa"/>
            <w:tcBorders>
              <w:top w:val="single" w:sz="4" w:space="0" w:color="000000"/>
              <w:left w:val="nil"/>
              <w:bottom w:val="single" w:sz="4" w:space="0" w:color="000000"/>
              <w:right w:val="nil"/>
            </w:tcBorders>
            <w:shd w:val="clear" w:color="auto" w:fill="auto"/>
            <w:noWrap/>
            <w:vAlign w:val="center"/>
            <w:hideMark/>
          </w:tcPr>
          <w:p w14:paraId="0C6EF3E1" w14:textId="6DB66259" w:rsidR="003451DC" w:rsidRPr="00C74F0E" w:rsidRDefault="00AD30B9" w:rsidP="003451DC">
            <w:pPr>
              <w:widowControl/>
              <w:jc w:val="center"/>
              <w:rPr>
                <w:rFonts w:ascii="Century" w:eastAsia="ＭＳ Ｐゴシック" w:hAnsi="Century" w:cs="Arial"/>
                <w:b/>
                <w:bCs/>
                <w:color w:val="000000"/>
                <w:kern w:val="0"/>
                <w:sz w:val="20"/>
                <w:szCs w:val="20"/>
              </w:rPr>
            </w:pPr>
            <w:r w:rsidRPr="00C74F0E">
              <w:rPr>
                <w:rFonts w:ascii="Century" w:eastAsia="ＭＳ Ｐゴシック" w:hAnsi="Century" w:cs="Arial"/>
                <w:b/>
                <w:bCs/>
                <w:color w:val="000000"/>
                <w:kern w:val="0"/>
                <w:sz w:val="20"/>
                <w:szCs w:val="20"/>
              </w:rPr>
              <w:t>20</w:t>
            </w:r>
            <w:r w:rsidR="003451DC" w:rsidRPr="00C74F0E">
              <w:rPr>
                <w:rFonts w:ascii="Century" w:eastAsia="ＭＳ Ｐゴシック" w:hAnsi="Century" w:cs="Arial"/>
                <w:b/>
                <w:bCs/>
                <w:color w:val="000000"/>
                <w:kern w:val="0"/>
                <w:sz w:val="20"/>
                <w:szCs w:val="20"/>
              </w:rPr>
              <w:t>.Q3</w:t>
            </w:r>
          </w:p>
        </w:tc>
        <w:tc>
          <w:tcPr>
            <w:tcW w:w="1134" w:type="dxa"/>
            <w:tcBorders>
              <w:top w:val="single" w:sz="4" w:space="0" w:color="000000"/>
              <w:left w:val="nil"/>
              <w:bottom w:val="single" w:sz="4" w:space="0" w:color="000000"/>
              <w:right w:val="nil"/>
            </w:tcBorders>
            <w:shd w:val="clear" w:color="auto" w:fill="auto"/>
            <w:noWrap/>
            <w:vAlign w:val="center"/>
            <w:hideMark/>
          </w:tcPr>
          <w:p w14:paraId="178EBE5B" w14:textId="5B1C9EE4" w:rsidR="003451DC" w:rsidRPr="00C74F0E" w:rsidRDefault="00AD30B9" w:rsidP="003451DC">
            <w:pPr>
              <w:widowControl/>
              <w:jc w:val="center"/>
              <w:rPr>
                <w:rFonts w:ascii="Century" w:eastAsia="ＭＳ Ｐゴシック" w:hAnsi="Century" w:cs="Arial"/>
                <w:b/>
                <w:bCs/>
                <w:color w:val="000000"/>
                <w:kern w:val="0"/>
                <w:sz w:val="20"/>
                <w:szCs w:val="20"/>
              </w:rPr>
            </w:pPr>
            <w:r w:rsidRPr="00C74F0E">
              <w:rPr>
                <w:rFonts w:ascii="Century" w:eastAsia="ＭＳ Ｐゴシック" w:hAnsi="Century" w:cs="Arial"/>
                <w:b/>
                <w:bCs/>
                <w:color w:val="000000"/>
                <w:kern w:val="0"/>
                <w:sz w:val="20"/>
                <w:szCs w:val="20"/>
              </w:rPr>
              <w:t>20</w:t>
            </w:r>
            <w:r w:rsidR="003451DC" w:rsidRPr="00C74F0E">
              <w:rPr>
                <w:rFonts w:ascii="Century" w:eastAsia="ＭＳ Ｐゴシック" w:hAnsi="Century" w:cs="Arial"/>
                <w:b/>
                <w:bCs/>
                <w:color w:val="000000"/>
                <w:kern w:val="0"/>
                <w:sz w:val="20"/>
                <w:szCs w:val="20"/>
              </w:rPr>
              <w:t>.Q4</w:t>
            </w:r>
          </w:p>
        </w:tc>
        <w:tc>
          <w:tcPr>
            <w:tcW w:w="1134" w:type="dxa"/>
            <w:tcBorders>
              <w:top w:val="single" w:sz="4" w:space="0" w:color="000000"/>
              <w:left w:val="nil"/>
              <w:bottom w:val="single" w:sz="4" w:space="0" w:color="000000"/>
              <w:right w:val="nil"/>
            </w:tcBorders>
            <w:shd w:val="clear" w:color="auto" w:fill="auto"/>
            <w:noWrap/>
            <w:vAlign w:val="center"/>
            <w:hideMark/>
          </w:tcPr>
          <w:p w14:paraId="5A2964B3" w14:textId="063B0265" w:rsidR="003451DC" w:rsidRPr="00C74F0E" w:rsidRDefault="003451DC" w:rsidP="003451DC">
            <w:pPr>
              <w:widowControl/>
              <w:jc w:val="center"/>
              <w:rPr>
                <w:rFonts w:ascii="Century" w:eastAsia="ＭＳ Ｐゴシック" w:hAnsi="Century" w:cs="Arial"/>
                <w:b/>
                <w:bCs/>
                <w:color w:val="000000"/>
                <w:kern w:val="0"/>
                <w:sz w:val="20"/>
                <w:szCs w:val="20"/>
              </w:rPr>
            </w:pPr>
            <w:r w:rsidRPr="00C74F0E">
              <w:rPr>
                <w:rFonts w:ascii="Century" w:eastAsia="ＭＳ Ｐゴシック" w:hAnsi="Century" w:cs="Arial"/>
                <w:b/>
                <w:bCs/>
                <w:color w:val="000000"/>
                <w:kern w:val="0"/>
                <w:sz w:val="20"/>
                <w:szCs w:val="20"/>
              </w:rPr>
              <w:t>2</w:t>
            </w:r>
            <w:r w:rsidR="00AD30B9" w:rsidRPr="00C74F0E">
              <w:rPr>
                <w:rFonts w:ascii="Century" w:eastAsia="ＭＳ Ｐゴシック" w:hAnsi="Century" w:cs="Arial"/>
                <w:b/>
                <w:bCs/>
                <w:color w:val="000000"/>
                <w:kern w:val="0"/>
                <w:sz w:val="20"/>
                <w:szCs w:val="20"/>
              </w:rPr>
              <w:t>1</w:t>
            </w:r>
            <w:r w:rsidRPr="00C74F0E">
              <w:rPr>
                <w:rFonts w:ascii="Century" w:eastAsia="ＭＳ Ｐゴシック" w:hAnsi="Century" w:cs="Arial"/>
                <w:b/>
                <w:bCs/>
                <w:color w:val="000000"/>
                <w:kern w:val="0"/>
                <w:sz w:val="20"/>
                <w:szCs w:val="20"/>
              </w:rPr>
              <w:t>.Q1</w:t>
            </w:r>
          </w:p>
        </w:tc>
      </w:tr>
      <w:tr w:rsidR="0079537D" w:rsidRPr="003451DC" w14:paraId="50AC7F26" w14:textId="77777777" w:rsidTr="0079537D">
        <w:trPr>
          <w:trHeight w:val="330"/>
        </w:trPr>
        <w:tc>
          <w:tcPr>
            <w:tcW w:w="4678" w:type="dxa"/>
            <w:tcBorders>
              <w:top w:val="nil"/>
              <w:left w:val="nil"/>
              <w:bottom w:val="nil"/>
              <w:right w:val="nil"/>
            </w:tcBorders>
            <w:shd w:val="clear" w:color="auto" w:fill="auto"/>
            <w:noWrap/>
            <w:vAlign w:val="center"/>
            <w:hideMark/>
          </w:tcPr>
          <w:p w14:paraId="19C892C5" w14:textId="77777777" w:rsidR="003451DC" w:rsidRPr="00DF1BDA" w:rsidRDefault="003451DC" w:rsidP="003451DC">
            <w:pPr>
              <w:widowControl/>
              <w:jc w:val="left"/>
              <w:rPr>
                <w:rFonts w:asciiTheme="minorEastAsia" w:hAnsiTheme="minorEastAsia" w:cs="Calibri"/>
                <w:color w:val="000000"/>
                <w:kern w:val="0"/>
                <w:sz w:val="20"/>
                <w:szCs w:val="20"/>
              </w:rPr>
            </w:pPr>
            <w:r w:rsidRPr="00DF1BDA">
              <w:rPr>
                <w:rFonts w:asciiTheme="minorEastAsia" w:hAnsiTheme="minorEastAsia" w:cs="Calibri"/>
                <w:color w:val="000000"/>
                <w:kern w:val="0"/>
                <w:sz w:val="20"/>
                <w:szCs w:val="20"/>
              </w:rPr>
              <w:t>負債</w:t>
            </w:r>
          </w:p>
        </w:tc>
        <w:tc>
          <w:tcPr>
            <w:tcW w:w="992" w:type="dxa"/>
            <w:tcBorders>
              <w:top w:val="nil"/>
              <w:left w:val="nil"/>
              <w:bottom w:val="nil"/>
              <w:right w:val="nil"/>
            </w:tcBorders>
            <w:shd w:val="clear" w:color="auto" w:fill="auto"/>
            <w:noWrap/>
            <w:vAlign w:val="center"/>
            <w:hideMark/>
          </w:tcPr>
          <w:p w14:paraId="3EB35FBD"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171,363</w:t>
            </w:r>
          </w:p>
        </w:tc>
        <w:tc>
          <w:tcPr>
            <w:tcW w:w="993" w:type="dxa"/>
            <w:tcBorders>
              <w:top w:val="nil"/>
              <w:left w:val="nil"/>
              <w:bottom w:val="nil"/>
              <w:right w:val="nil"/>
            </w:tcBorders>
            <w:shd w:val="clear" w:color="auto" w:fill="auto"/>
            <w:noWrap/>
            <w:vAlign w:val="center"/>
            <w:hideMark/>
          </w:tcPr>
          <w:p w14:paraId="026CBD24"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180,105</w:t>
            </w:r>
          </w:p>
        </w:tc>
        <w:tc>
          <w:tcPr>
            <w:tcW w:w="992" w:type="dxa"/>
            <w:tcBorders>
              <w:top w:val="nil"/>
              <w:left w:val="nil"/>
              <w:bottom w:val="nil"/>
              <w:right w:val="nil"/>
            </w:tcBorders>
            <w:shd w:val="clear" w:color="auto" w:fill="auto"/>
            <w:noWrap/>
            <w:vAlign w:val="center"/>
            <w:hideMark/>
          </w:tcPr>
          <w:p w14:paraId="20A0BBA3"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177,215</w:t>
            </w:r>
          </w:p>
        </w:tc>
        <w:tc>
          <w:tcPr>
            <w:tcW w:w="1134" w:type="dxa"/>
            <w:tcBorders>
              <w:top w:val="nil"/>
              <w:left w:val="nil"/>
              <w:bottom w:val="nil"/>
              <w:right w:val="nil"/>
            </w:tcBorders>
            <w:shd w:val="clear" w:color="auto" w:fill="auto"/>
            <w:noWrap/>
            <w:vAlign w:val="center"/>
            <w:hideMark/>
          </w:tcPr>
          <w:p w14:paraId="514B207A"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248,253</w:t>
            </w:r>
          </w:p>
        </w:tc>
        <w:tc>
          <w:tcPr>
            <w:tcW w:w="1134" w:type="dxa"/>
            <w:tcBorders>
              <w:top w:val="nil"/>
              <w:left w:val="nil"/>
              <w:bottom w:val="nil"/>
              <w:right w:val="nil"/>
            </w:tcBorders>
            <w:shd w:val="clear" w:color="auto" w:fill="auto"/>
            <w:noWrap/>
            <w:vAlign w:val="center"/>
            <w:hideMark/>
          </w:tcPr>
          <w:p w14:paraId="4A29C502"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226,069</w:t>
            </w:r>
          </w:p>
        </w:tc>
        <w:tc>
          <w:tcPr>
            <w:tcW w:w="1134" w:type="dxa"/>
            <w:tcBorders>
              <w:top w:val="nil"/>
              <w:left w:val="nil"/>
              <w:bottom w:val="nil"/>
              <w:right w:val="nil"/>
            </w:tcBorders>
            <w:shd w:val="clear" w:color="auto" w:fill="auto"/>
            <w:noWrap/>
            <w:vAlign w:val="center"/>
            <w:hideMark/>
          </w:tcPr>
          <w:p w14:paraId="3F77ABA7"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224,691</w:t>
            </w:r>
          </w:p>
        </w:tc>
        <w:tc>
          <w:tcPr>
            <w:tcW w:w="1134" w:type="dxa"/>
            <w:tcBorders>
              <w:top w:val="nil"/>
              <w:left w:val="nil"/>
              <w:bottom w:val="nil"/>
              <w:right w:val="nil"/>
            </w:tcBorders>
            <w:shd w:val="clear" w:color="auto" w:fill="auto"/>
            <w:noWrap/>
            <w:vAlign w:val="center"/>
            <w:hideMark/>
          </w:tcPr>
          <w:p w14:paraId="6D00FBE8"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231,056</w:t>
            </w:r>
          </w:p>
        </w:tc>
        <w:tc>
          <w:tcPr>
            <w:tcW w:w="1134" w:type="dxa"/>
            <w:tcBorders>
              <w:top w:val="nil"/>
              <w:left w:val="nil"/>
              <w:bottom w:val="nil"/>
              <w:right w:val="nil"/>
            </w:tcBorders>
            <w:shd w:val="clear" w:color="auto" w:fill="auto"/>
            <w:noWrap/>
            <w:vAlign w:val="center"/>
            <w:hideMark/>
          </w:tcPr>
          <w:p w14:paraId="59CCF61B"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190,394</w:t>
            </w:r>
          </w:p>
        </w:tc>
        <w:tc>
          <w:tcPr>
            <w:tcW w:w="1134" w:type="dxa"/>
            <w:tcBorders>
              <w:top w:val="nil"/>
              <w:left w:val="nil"/>
              <w:bottom w:val="nil"/>
              <w:right w:val="nil"/>
            </w:tcBorders>
            <w:shd w:val="clear" w:color="auto" w:fill="auto"/>
            <w:noWrap/>
            <w:vAlign w:val="center"/>
            <w:hideMark/>
          </w:tcPr>
          <w:p w14:paraId="270A4958"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174,488</w:t>
            </w:r>
          </w:p>
        </w:tc>
      </w:tr>
      <w:tr w:rsidR="0079537D" w:rsidRPr="003451DC" w14:paraId="194BC145" w14:textId="77777777" w:rsidTr="0079537D">
        <w:trPr>
          <w:trHeight w:val="330"/>
        </w:trPr>
        <w:tc>
          <w:tcPr>
            <w:tcW w:w="4678" w:type="dxa"/>
            <w:tcBorders>
              <w:top w:val="nil"/>
              <w:left w:val="nil"/>
              <w:bottom w:val="nil"/>
              <w:right w:val="nil"/>
            </w:tcBorders>
            <w:shd w:val="clear" w:color="auto" w:fill="auto"/>
            <w:noWrap/>
            <w:vAlign w:val="center"/>
            <w:hideMark/>
          </w:tcPr>
          <w:p w14:paraId="0496A7E7" w14:textId="77777777" w:rsidR="003451DC" w:rsidRPr="00DF1BDA" w:rsidRDefault="003451DC" w:rsidP="003451DC">
            <w:pPr>
              <w:widowControl/>
              <w:jc w:val="left"/>
              <w:rPr>
                <w:rFonts w:asciiTheme="minorEastAsia" w:hAnsiTheme="minorEastAsia" w:cs="Arial"/>
                <w:color w:val="000000"/>
                <w:kern w:val="0"/>
                <w:sz w:val="20"/>
                <w:szCs w:val="20"/>
              </w:rPr>
            </w:pPr>
            <w:r w:rsidRPr="00DF1BDA">
              <w:rPr>
                <w:rFonts w:asciiTheme="minorEastAsia" w:hAnsiTheme="minorEastAsia" w:cs="Arial" w:hint="eastAsia"/>
                <w:color w:val="000000"/>
                <w:kern w:val="0"/>
                <w:sz w:val="20"/>
                <w:szCs w:val="20"/>
              </w:rPr>
              <w:t xml:space="preserve">　流動負債</w:t>
            </w:r>
          </w:p>
        </w:tc>
        <w:tc>
          <w:tcPr>
            <w:tcW w:w="992" w:type="dxa"/>
            <w:tcBorders>
              <w:top w:val="nil"/>
              <w:left w:val="nil"/>
              <w:bottom w:val="nil"/>
              <w:right w:val="nil"/>
            </w:tcBorders>
            <w:shd w:val="clear" w:color="auto" w:fill="auto"/>
            <w:noWrap/>
            <w:vAlign w:val="center"/>
            <w:hideMark/>
          </w:tcPr>
          <w:p w14:paraId="22B40D41"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104,778</w:t>
            </w:r>
          </w:p>
        </w:tc>
        <w:tc>
          <w:tcPr>
            <w:tcW w:w="993" w:type="dxa"/>
            <w:tcBorders>
              <w:top w:val="nil"/>
              <w:left w:val="nil"/>
              <w:bottom w:val="nil"/>
              <w:right w:val="nil"/>
            </w:tcBorders>
            <w:shd w:val="clear" w:color="auto" w:fill="auto"/>
            <w:noWrap/>
            <w:vAlign w:val="center"/>
            <w:hideMark/>
          </w:tcPr>
          <w:p w14:paraId="706D4343"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112,929</w:t>
            </w:r>
          </w:p>
        </w:tc>
        <w:tc>
          <w:tcPr>
            <w:tcW w:w="992" w:type="dxa"/>
            <w:tcBorders>
              <w:top w:val="nil"/>
              <w:left w:val="nil"/>
              <w:bottom w:val="nil"/>
              <w:right w:val="nil"/>
            </w:tcBorders>
            <w:shd w:val="clear" w:color="auto" w:fill="auto"/>
            <w:noWrap/>
            <w:vAlign w:val="center"/>
            <w:hideMark/>
          </w:tcPr>
          <w:p w14:paraId="2ABA5A93"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112,023</w:t>
            </w:r>
          </w:p>
        </w:tc>
        <w:tc>
          <w:tcPr>
            <w:tcW w:w="1134" w:type="dxa"/>
            <w:tcBorders>
              <w:top w:val="nil"/>
              <w:left w:val="nil"/>
              <w:bottom w:val="nil"/>
              <w:right w:val="nil"/>
            </w:tcBorders>
            <w:shd w:val="clear" w:color="auto" w:fill="auto"/>
            <w:noWrap/>
            <w:vAlign w:val="center"/>
            <w:hideMark/>
          </w:tcPr>
          <w:p w14:paraId="4A318F58"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154,652</w:t>
            </w:r>
          </w:p>
        </w:tc>
        <w:tc>
          <w:tcPr>
            <w:tcW w:w="1134" w:type="dxa"/>
            <w:tcBorders>
              <w:top w:val="nil"/>
              <w:left w:val="nil"/>
              <w:bottom w:val="nil"/>
              <w:right w:val="nil"/>
            </w:tcBorders>
            <w:shd w:val="clear" w:color="auto" w:fill="auto"/>
            <w:noWrap/>
            <w:vAlign w:val="center"/>
            <w:hideMark/>
          </w:tcPr>
          <w:p w14:paraId="6A5509EB"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133,218</w:t>
            </w:r>
          </w:p>
        </w:tc>
        <w:tc>
          <w:tcPr>
            <w:tcW w:w="1134" w:type="dxa"/>
            <w:tcBorders>
              <w:top w:val="nil"/>
              <w:left w:val="nil"/>
              <w:bottom w:val="nil"/>
              <w:right w:val="nil"/>
            </w:tcBorders>
            <w:shd w:val="clear" w:color="auto" w:fill="auto"/>
            <w:noWrap/>
            <w:vAlign w:val="center"/>
            <w:hideMark/>
          </w:tcPr>
          <w:p w14:paraId="5B6A6C3D"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112,929</w:t>
            </w:r>
          </w:p>
        </w:tc>
        <w:tc>
          <w:tcPr>
            <w:tcW w:w="1134" w:type="dxa"/>
            <w:tcBorders>
              <w:top w:val="nil"/>
              <w:left w:val="nil"/>
              <w:bottom w:val="nil"/>
              <w:right w:val="nil"/>
            </w:tcBorders>
            <w:shd w:val="clear" w:color="auto" w:fill="auto"/>
            <w:noWrap/>
            <w:vAlign w:val="center"/>
            <w:hideMark/>
          </w:tcPr>
          <w:p w14:paraId="1CC74145"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137,601</w:t>
            </w:r>
          </w:p>
        </w:tc>
        <w:tc>
          <w:tcPr>
            <w:tcW w:w="1134" w:type="dxa"/>
            <w:tcBorders>
              <w:top w:val="nil"/>
              <w:left w:val="nil"/>
              <w:bottom w:val="nil"/>
              <w:right w:val="nil"/>
            </w:tcBorders>
            <w:shd w:val="clear" w:color="auto" w:fill="auto"/>
            <w:noWrap/>
            <w:vAlign w:val="center"/>
            <w:hideMark/>
          </w:tcPr>
          <w:p w14:paraId="231FB721"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100,495</w:t>
            </w:r>
          </w:p>
        </w:tc>
        <w:tc>
          <w:tcPr>
            <w:tcW w:w="1134" w:type="dxa"/>
            <w:tcBorders>
              <w:top w:val="nil"/>
              <w:left w:val="nil"/>
              <w:bottom w:val="nil"/>
              <w:right w:val="nil"/>
            </w:tcBorders>
            <w:shd w:val="clear" w:color="auto" w:fill="auto"/>
            <w:noWrap/>
            <w:vAlign w:val="center"/>
            <w:hideMark/>
          </w:tcPr>
          <w:p w14:paraId="12C13645"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81,780</w:t>
            </w:r>
          </w:p>
        </w:tc>
      </w:tr>
      <w:tr w:rsidR="0079537D" w:rsidRPr="003451DC" w14:paraId="52A73A24" w14:textId="77777777" w:rsidTr="0079537D">
        <w:trPr>
          <w:trHeight w:val="330"/>
        </w:trPr>
        <w:tc>
          <w:tcPr>
            <w:tcW w:w="4678" w:type="dxa"/>
            <w:tcBorders>
              <w:top w:val="nil"/>
              <w:left w:val="nil"/>
              <w:bottom w:val="nil"/>
              <w:right w:val="nil"/>
            </w:tcBorders>
            <w:shd w:val="clear" w:color="auto" w:fill="auto"/>
            <w:noWrap/>
            <w:vAlign w:val="center"/>
            <w:hideMark/>
          </w:tcPr>
          <w:p w14:paraId="0A42437E" w14:textId="77777777" w:rsidR="003451DC" w:rsidRPr="00DF1BDA" w:rsidRDefault="003451DC" w:rsidP="003451DC">
            <w:pPr>
              <w:widowControl/>
              <w:jc w:val="left"/>
              <w:rPr>
                <w:rFonts w:asciiTheme="minorEastAsia" w:hAnsiTheme="minorEastAsia" w:cs="Arial"/>
                <w:color w:val="000000"/>
                <w:kern w:val="0"/>
                <w:sz w:val="20"/>
                <w:szCs w:val="20"/>
              </w:rPr>
            </w:pPr>
            <w:r w:rsidRPr="00DF1BDA">
              <w:rPr>
                <w:rFonts w:asciiTheme="minorEastAsia" w:hAnsiTheme="minorEastAsia" w:cs="Arial" w:hint="eastAsia"/>
                <w:color w:val="000000"/>
                <w:kern w:val="0"/>
                <w:sz w:val="20"/>
                <w:szCs w:val="20"/>
              </w:rPr>
              <w:t xml:space="preserve">　　買掛金および支払手形</w:t>
            </w:r>
          </w:p>
        </w:tc>
        <w:tc>
          <w:tcPr>
            <w:tcW w:w="992" w:type="dxa"/>
            <w:tcBorders>
              <w:top w:val="nil"/>
              <w:left w:val="nil"/>
              <w:bottom w:val="nil"/>
              <w:right w:val="nil"/>
            </w:tcBorders>
            <w:shd w:val="clear" w:color="auto" w:fill="auto"/>
            <w:noWrap/>
            <w:vAlign w:val="center"/>
            <w:hideMark/>
          </w:tcPr>
          <w:p w14:paraId="2B2400EE"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13,847</w:t>
            </w:r>
          </w:p>
        </w:tc>
        <w:tc>
          <w:tcPr>
            <w:tcW w:w="993" w:type="dxa"/>
            <w:tcBorders>
              <w:top w:val="nil"/>
              <w:left w:val="nil"/>
              <w:bottom w:val="nil"/>
              <w:right w:val="nil"/>
            </w:tcBorders>
            <w:shd w:val="clear" w:color="auto" w:fill="auto"/>
            <w:noWrap/>
            <w:vAlign w:val="center"/>
            <w:hideMark/>
          </w:tcPr>
          <w:p w14:paraId="1F44813B"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14,072</w:t>
            </w:r>
          </w:p>
        </w:tc>
        <w:tc>
          <w:tcPr>
            <w:tcW w:w="992" w:type="dxa"/>
            <w:tcBorders>
              <w:top w:val="nil"/>
              <w:left w:val="nil"/>
              <w:bottom w:val="nil"/>
              <w:right w:val="nil"/>
            </w:tcBorders>
            <w:shd w:val="clear" w:color="auto" w:fill="auto"/>
            <w:noWrap/>
            <w:vAlign w:val="center"/>
            <w:hideMark/>
          </w:tcPr>
          <w:p w14:paraId="221E74F3"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16,987</w:t>
            </w:r>
          </w:p>
        </w:tc>
        <w:tc>
          <w:tcPr>
            <w:tcW w:w="1134" w:type="dxa"/>
            <w:tcBorders>
              <w:top w:val="nil"/>
              <w:left w:val="nil"/>
              <w:bottom w:val="nil"/>
              <w:right w:val="nil"/>
            </w:tcBorders>
            <w:shd w:val="clear" w:color="auto" w:fill="auto"/>
            <w:noWrap/>
            <w:vAlign w:val="center"/>
            <w:hideMark/>
          </w:tcPr>
          <w:p w14:paraId="057950D1"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19,907</w:t>
            </w:r>
          </w:p>
        </w:tc>
        <w:tc>
          <w:tcPr>
            <w:tcW w:w="1134" w:type="dxa"/>
            <w:tcBorders>
              <w:top w:val="nil"/>
              <w:left w:val="nil"/>
              <w:bottom w:val="nil"/>
              <w:right w:val="nil"/>
            </w:tcBorders>
            <w:shd w:val="clear" w:color="auto" w:fill="auto"/>
            <w:noWrap/>
            <w:vAlign w:val="center"/>
            <w:hideMark/>
          </w:tcPr>
          <w:p w14:paraId="1A1E20CB"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12,569</w:t>
            </w:r>
          </w:p>
        </w:tc>
        <w:tc>
          <w:tcPr>
            <w:tcW w:w="1134" w:type="dxa"/>
            <w:tcBorders>
              <w:top w:val="nil"/>
              <w:left w:val="nil"/>
              <w:bottom w:val="nil"/>
              <w:right w:val="nil"/>
            </w:tcBorders>
            <w:shd w:val="clear" w:color="auto" w:fill="auto"/>
            <w:noWrap/>
            <w:vAlign w:val="center"/>
            <w:hideMark/>
          </w:tcPr>
          <w:p w14:paraId="10DCCE6F"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14,126</w:t>
            </w:r>
          </w:p>
        </w:tc>
        <w:tc>
          <w:tcPr>
            <w:tcW w:w="1134" w:type="dxa"/>
            <w:tcBorders>
              <w:top w:val="nil"/>
              <w:left w:val="nil"/>
              <w:bottom w:val="nil"/>
              <w:right w:val="nil"/>
            </w:tcBorders>
            <w:shd w:val="clear" w:color="auto" w:fill="auto"/>
            <w:noWrap/>
            <w:vAlign w:val="center"/>
            <w:hideMark/>
          </w:tcPr>
          <w:p w14:paraId="01E84521"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16,709</w:t>
            </w:r>
          </w:p>
        </w:tc>
        <w:tc>
          <w:tcPr>
            <w:tcW w:w="1134" w:type="dxa"/>
            <w:tcBorders>
              <w:top w:val="nil"/>
              <w:left w:val="nil"/>
              <w:bottom w:val="nil"/>
              <w:right w:val="nil"/>
            </w:tcBorders>
            <w:shd w:val="clear" w:color="auto" w:fill="auto"/>
            <w:noWrap/>
            <w:vAlign w:val="center"/>
            <w:hideMark/>
          </w:tcPr>
          <w:p w14:paraId="46B0BD6F"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13,921</w:t>
            </w:r>
          </w:p>
        </w:tc>
        <w:tc>
          <w:tcPr>
            <w:tcW w:w="1134" w:type="dxa"/>
            <w:tcBorders>
              <w:top w:val="nil"/>
              <w:left w:val="nil"/>
              <w:bottom w:val="nil"/>
              <w:right w:val="nil"/>
            </w:tcBorders>
            <w:shd w:val="clear" w:color="auto" w:fill="auto"/>
            <w:noWrap/>
            <w:vAlign w:val="center"/>
            <w:hideMark/>
          </w:tcPr>
          <w:p w14:paraId="056018E2"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7,503</w:t>
            </w:r>
          </w:p>
        </w:tc>
      </w:tr>
      <w:tr w:rsidR="0079537D" w:rsidRPr="003451DC" w14:paraId="35864275" w14:textId="77777777" w:rsidTr="0079537D">
        <w:trPr>
          <w:trHeight w:val="330"/>
        </w:trPr>
        <w:tc>
          <w:tcPr>
            <w:tcW w:w="4678" w:type="dxa"/>
            <w:tcBorders>
              <w:top w:val="nil"/>
              <w:left w:val="nil"/>
              <w:bottom w:val="nil"/>
              <w:right w:val="nil"/>
            </w:tcBorders>
            <w:shd w:val="clear" w:color="auto" w:fill="auto"/>
            <w:noWrap/>
            <w:vAlign w:val="center"/>
            <w:hideMark/>
          </w:tcPr>
          <w:p w14:paraId="746E5F13" w14:textId="77777777" w:rsidR="003451DC" w:rsidRPr="00DF1BDA" w:rsidRDefault="003451DC" w:rsidP="003451DC">
            <w:pPr>
              <w:widowControl/>
              <w:jc w:val="left"/>
              <w:rPr>
                <w:rFonts w:asciiTheme="minorEastAsia" w:hAnsiTheme="minorEastAsia" w:cs="Arial"/>
                <w:color w:val="000000"/>
                <w:kern w:val="0"/>
                <w:sz w:val="20"/>
                <w:szCs w:val="20"/>
              </w:rPr>
            </w:pPr>
            <w:r w:rsidRPr="00DF1BDA">
              <w:rPr>
                <w:rFonts w:asciiTheme="minorEastAsia" w:hAnsiTheme="minorEastAsia" w:cs="Arial" w:hint="eastAsia"/>
                <w:color w:val="000000"/>
                <w:kern w:val="0"/>
                <w:sz w:val="20"/>
                <w:szCs w:val="20"/>
              </w:rPr>
              <w:t xml:space="preserve">　　その他の流動負債</w:t>
            </w:r>
          </w:p>
        </w:tc>
        <w:tc>
          <w:tcPr>
            <w:tcW w:w="992" w:type="dxa"/>
            <w:tcBorders>
              <w:top w:val="nil"/>
              <w:left w:val="nil"/>
              <w:bottom w:val="nil"/>
              <w:right w:val="nil"/>
            </w:tcBorders>
            <w:shd w:val="clear" w:color="auto" w:fill="auto"/>
            <w:noWrap/>
            <w:vAlign w:val="center"/>
            <w:hideMark/>
          </w:tcPr>
          <w:p w14:paraId="4942609A"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90,931</w:t>
            </w:r>
          </w:p>
        </w:tc>
        <w:tc>
          <w:tcPr>
            <w:tcW w:w="993" w:type="dxa"/>
            <w:tcBorders>
              <w:top w:val="nil"/>
              <w:left w:val="nil"/>
              <w:bottom w:val="nil"/>
              <w:right w:val="nil"/>
            </w:tcBorders>
            <w:shd w:val="clear" w:color="auto" w:fill="auto"/>
            <w:noWrap/>
            <w:vAlign w:val="center"/>
            <w:hideMark/>
          </w:tcPr>
          <w:p w14:paraId="1280C1CD"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98,857</w:t>
            </w:r>
          </w:p>
        </w:tc>
        <w:tc>
          <w:tcPr>
            <w:tcW w:w="992" w:type="dxa"/>
            <w:tcBorders>
              <w:top w:val="nil"/>
              <w:left w:val="nil"/>
              <w:bottom w:val="nil"/>
              <w:right w:val="nil"/>
            </w:tcBorders>
            <w:shd w:val="clear" w:color="auto" w:fill="auto"/>
            <w:noWrap/>
            <w:vAlign w:val="center"/>
            <w:hideMark/>
          </w:tcPr>
          <w:p w14:paraId="70977E62"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95,036</w:t>
            </w:r>
          </w:p>
        </w:tc>
        <w:tc>
          <w:tcPr>
            <w:tcW w:w="1134" w:type="dxa"/>
            <w:tcBorders>
              <w:top w:val="nil"/>
              <w:left w:val="nil"/>
              <w:bottom w:val="nil"/>
              <w:right w:val="nil"/>
            </w:tcBorders>
            <w:shd w:val="clear" w:color="auto" w:fill="auto"/>
            <w:noWrap/>
            <w:vAlign w:val="center"/>
            <w:hideMark/>
          </w:tcPr>
          <w:p w14:paraId="7ED8562E"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134,745</w:t>
            </w:r>
          </w:p>
        </w:tc>
        <w:tc>
          <w:tcPr>
            <w:tcW w:w="1134" w:type="dxa"/>
            <w:tcBorders>
              <w:top w:val="nil"/>
              <w:left w:val="nil"/>
              <w:bottom w:val="nil"/>
              <w:right w:val="nil"/>
            </w:tcBorders>
            <w:shd w:val="clear" w:color="auto" w:fill="auto"/>
            <w:noWrap/>
            <w:vAlign w:val="center"/>
            <w:hideMark/>
          </w:tcPr>
          <w:p w14:paraId="4C6F2828"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120,649</w:t>
            </w:r>
          </w:p>
        </w:tc>
        <w:tc>
          <w:tcPr>
            <w:tcW w:w="1134" w:type="dxa"/>
            <w:tcBorders>
              <w:top w:val="nil"/>
              <w:left w:val="nil"/>
              <w:bottom w:val="nil"/>
              <w:right w:val="nil"/>
            </w:tcBorders>
            <w:shd w:val="clear" w:color="auto" w:fill="auto"/>
            <w:noWrap/>
            <w:vAlign w:val="center"/>
            <w:hideMark/>
          </w:tcPr>
          <w:p w14:paraId="5F6473B3"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98,803</w:t>
            </w:r>
          </w:p>
        </w:tc>
        <w:tc>
          <w:tcPr>
            <w:tcW w:w="1134" w:type="dxa"/>
            <w:tcBorders>
              <w:top w:val="nil"/>
              <w:left w:val="nil"/>
              <w:bottom w:val="nil"/>
              <w:right w:val="nil"/>
            </w:tcBorders>
            <w:shd w:val="clear" w:color="auto" w:fill="auto"/>
            <w:noWrap/>
            <w:vAlign w:val="center"/>
            <w:hideMark/>
          </w:tcPr>
          <w:p w14:paraId="2BB78CD2"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120,892</w:t>
            </w:r>
          </w:p>
        </w:tc>
        <w:tc>
          <w:tcPr>
            <w:tcW w:w="1134" w:type="dxa"/>
            <w:tcBorders>
              <w:top w:val="nil"/>
              <w:left w:val="nil"/>
              <w:bottom w:val="nil"/>
              <w:right w:val="nil"/>
            </w:tcBorders>
            <w:shd w:val="clear" w:color="auto" w:fill="auto"/>
            <w:noWrap/>
            <w:vAlign w:val="center"/>
            <w:hideMark/>
          </w:tcPr>
          <w:p w14:paraId="3BA21241"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86,574</w:t>
            </w:r>
          </w:p>
        </w:tc>
        <w:tc>
          <w:tcPr>
            <w:tcW w:w="1134" w:type="dxa"/>
            <w:tcBorders>
              <w:top w:val="nil"/>
              <w:left w:val="nil"/>
              <w:bottom w:val="nil"/>
              <w:right w:val="nil"/>
            </w:tcBorders>
            <w:shd w:val="clear" w:color="auto" w:fill="auto"/>
            <w:noWrap/>
            <w:vAlign w:val="center"/>
            <w:hideMark/>
          </w:tcPr>
          <w:p w14:paraId="53A329C5"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74,277</w:t>
            </w:r>
          </w:p>
        </w:tc>
      </w:tr>
      <w:tr w:rsidR="0079537D" w:rsidRPr="003451DC" w14:paraId="5568E5B6" w14:textId="77777777" w:rsidTr="0079537D">
        <w:trPr>
          <w:trHeight w:val="330"/>
        </w:trPr>
        <w:tc>
          <w:tcPr>
            <w:tcW w:w="4678" w:type="dxa"/>
            <w:tcBorders>
              <w:top w:val="nil"/>
              <w:left w:val="nil"/>
              <w:bottom w:val="nil"/>
              <w:right w:val="nil"/>
            </w:tcBorders>
            <w:shd w:val="clear" w:color="auto" w:fill="auto"/>
            <w:noWrap/>
            <w:vAlign w:val="center"/>
            <w:hideMark/>
          </w:tcPr>
          <w:p w14:paraId="7AB05ED0" w14:textId="77777777" w:rsidR="003451DC" w:rsidRPr="00DF1BDA" w:rsidRDefault="003451DC" w:rsidP="003451DC">
            <w:pPr>
              <w:widowControl/>
              <w:jc w:val="left"/>
              <w:rPr>
                <w:rFonts w:asciiTheme="minorEastAsia" w:hAnsiTheme="minorEastAsia" w:cs="Arial"/>
                <w:color w:val="000000"/>
                <w:kern w:val="0"/>
                <w:sz w:val="20"/>
                <w:szCs w:val="20"/>
              </w:rPr>
            </w:pPr>
            <w:r w:rsidRPr="00DF1BDA">
              <w:rPr>
                <w:rFonts w:asciiTheme="minorEastAsia" w:hAnsiTheme="minorEastAsia" w:cs="Arial" w:hint="eastAsia"/>
                <w:color w:val="000000"/>
                <w:kern w:val="0"/>
                <w:sz w:val="20"/>
                <w:szCs w:val="20"/>
              </w:rPr>
              <w:t xml:space="preserve">　固定負債</w:t>
            </w:r>
          </w:p>
        </w:tc>
        <w:tc>
          <w:tcPr>
            <w:tcW w:w="992" w:type="dxa"/>
            <w:tcBorders>
              <w:top w:val="nil"/>
              <w:left w:val="nil"/>
              <w:bottom w:val="nil"/>
              <w:right w:val="nil"/>
            </w:tcBorders>
            <w:shd w:val="clear" w:color="auto" w:fill="auto"/>
            <w:noWrap/>
            <w:vAlign w:val="center"/>
            <w:hideMark/>
          </w:tcPr>
          <w:p w14:paraId="5B32495F"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66,585</w:t>
            </w:r>
          </w:p>
        </w:tc>
        <w:tc>
          <w:tcPr>
            <w:tcW w:w="993" w:type="dxa"/>
            <w:tcBorders>
              <w:top w:val="nil"/>
              <w:left w:val="nil"/>
              <w:bottom w:val="nil"/>
              <w:right w:val="nil"/>
            </w:tcBorders>
            <w:shd w:val="clear" w:color="auto" w:fill="auto"/>
            <w:noWrap/>
            <w:vAlign w:val="center"/>
            <w:hideMark/>
          </w:tcPr>
          <w:p w14:paraId="3335AC6F"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67,176</w:t>
            </w:r>
          </w:p>
        </w:tc>
        <w:tc>
          <w:tcPr>
            <w:tcW w:w="992" w:type="dxa"/>
            <w:tcBorders>
              <w:top w:val="nil"/>
              <w:left w:val="nil"/>
              <w:bottom w:val="nil"/>
              <w:right w:val="nil"/>
            </w:tcBorders>
            <w:shd w:val="clear" w:color="auto" w:fill="auto"/>
            <w:noWrap/>
            <w:vAlign w:val="center"/>
            <w:hideMark/>
          </w:tcPr>
          <w:p w14:paraId="2D24FFE2"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65,191</w:t>
            </w:r>
          </w:p>
        </w:tc>
        <w:tc>
          <w:tcPr>
            <w:tcW w:w="1134" w:type="dxa"/>
            <w:tcBorders>
              <w:top w:val="nil"/>
              <w:left w:val="nil"/>
              <w:bottom w:val="nil"/>
              <w:right w:val="nil"/>
            </w:tcBorders>
            <w:shd w:val="clear" w:color="auto" w:fill="auto"/>
            <w:noWrap/>
            <w:vAlign w:val="center"/>
            <w:hideMark/>
          </w:tcPr>
          <w:p w14:paraId="7F79479B"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93,601</w:t>
            </w:r>
          </w:p>
        </w:tc>
        <w:tc>
          <w:tcPr>
            <w:tcW w:w="1134" w:type="dxa"/>
            <w:tcBorders>
              <w:top w:val="nil"/>
              <w:left w:val="nil"/>
              <w:bottom w:val="nil"/>
              <w:right w:val="nil"/>
            </w:tcBorders>
            <w:shd w:val="clear" w:color="auto" w:fill="auto"/>
            <w:noWrap/>
            <w:vAlign w:val="center"/>
            <w:hideMark/>
          </w:tcPr>
          <w:p w14:paraId="6ABD0296"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92,851</w:t>
            </w:r>
          </w:p>
        </w:tc>
        <w:tc>
          <w:tcPr>
            <w:tcW w:w="1134" w:type="dxa"/>
            <w:tcBorders>
              <w:top w:val="nil"/>
              <w:left w:val="nil"/>
              <w:bottom w:val="nil"/>
              <w:right w:val="nil"/>
            </w:tcBorders>
            <w:shd w:val="clear" w:color="auto" w:fill="auto"/>
            <w:noWrap/>
            <w:vAlign w:val="center"/>
            <w:hideMark/>
          </w:tcPr>
          <w:p w14:paraId="7019294E"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67,176</w:t>
            </w:r>
          </w:p>
        </w:tc>
        <w:tc>
          <w:tcPr>
            <w:tcW w:w="1134" w:type="dxa"/>
            <w:tcBorders>
              <w:top w:val="nil"/>
              <w:left w:val="nil"/>
              <w:bottom w:val="nil"/>
              <w:right w:val="nil"/>
            </w:tcBorders>
            <w:shd w:val="clear" w:color="auto" w:fill="auto"/>
            <w:noWrap/>
            <w:vAlign w:val="center"/>
            <w:hideMark/>
          </w:tcPr>
          <w:p w14:paraId="105275FF"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93,454</w:t>
            </w:r>
          </w:p>
        </w:tc>
        <w:tc>
          <w:tcPr>
            <w:tcW w:w="1134" w:type="dxa"/>
            <w:tcBorders>
              <w:top w:val="nil"/>
              <w:left w:val="nil"/>
              <w:bottom w:val="nil"/>
              <w:right w:val="nil"/>
            </w:tcBorders>
            <w:shd w:val="clear" w:color="auto" w:fill="auto"/>
            <w:noWrap/>
            <w:vAlign w:val="center"/>
            <w:hideMark/>
          </w:tcPr>
          <w:p w14:paraId="46857767"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89,898</w:t>
            </w:r>
          </w:p>
        </w:tc>
        <w:tc>
          <w:tcPr>
            <w:tcW w:w="1134" w:type="dxa"/>
            <w:tcBorders>
              <w:top w:val="nil"/>
              <w:left w:val="nil"/>
              <w:bottom w:val="nil"/>
              <w:right w:val="nil"/>
            </w:tcBorders>
            <w:shd w:val="clear" w:color="auto" w:fill="auto"/>
            <w:noWrap/>
            <w:vAlign w:val="center"/>
            <w:hideMark/>
          </w:tcPr>
          <w:p w14:paraId="09427400"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89,707</w:t>
            </w:r>
          </w:p>
        </w:tc>
      </w:tr>
      <w:tr w:rsidR="0079537D" w:rsidRPr="003451DC" w14:paraId="6D6E4043" w14:textId="77777777" w:rsidTr="0079537D">
        <w:trPr>
          <w:trHeight w:val="330"/>
        </w:trPr>
        <w:tc>
          <w:tcPr>
            <w:tcW w:w="4678" w:type="dxa"/>
            <w:tcBorders>
              <w:top w:val="nil"/>
              <w:left w:val="nil"/>
              <w:bottom w:val="nil"/>
              <w:right w:val="nil"/>
            </w:tcBorders>
            <w:shd w:val="clear" w:color="auto" w:fill="auto"/>
            <w:noWrap/>
            <w:vAlign w:val="center"/>
            <w:hideMark/>
          </w:tcPr>
          <w:p w14:paraId="34415C6C" w14:textId="77777777" w:rsidR="003451DC" w:rsidRPr="00DF1BDA" w:rsidRDefault="003451DC" w:rsidP="003451DC">
            <w:pPr>
              <w:widowControl/>
              <w:jc w:val="left"/>
              <w:rPr>
                <w:rFonts w:asciiTheme="minorEastAsia" w:hAnsiTheme="minorEastAsia" w:cs="Arial"/>
                <w:color w:val="000000"/>
                <w:kern w:val="0"/>
                <w:sz w:val="20"/>
                <w:szCs w:val="20"/>
              </w:rPr>
            </w:pPr>
            <w:r w:rsidRPr="00DF1BDA">
              <w:rPr>
                <w:rFonts w:asciiTheme="minorEastAsia" w:hAnsiTheme="minorEastAsia" w:cs="Arial" w:hint="eastAsia"/>
                <w:color w:val="000000"/>
                <w:kern w:val="0"/>
                <w:sz w:val="20"/>
                <w:szCs w:val="20"/>
              </w:rPr>
              <w:t>純資産</w:t>
            </w:r>
          </w:p>
        </w:tc>
        <w:tc>
          <w:tcPr>
            <w:tcW w:w="992" w:type="dxa"/>
            <w:tcBorders>
              <w:top w:val="nil"/>
              <w:left w:val="nil"/>
              <w:bottom w:val="nil"/>
              <w:right w:val="nil"/>
            </w:tcBorders>
            <w:shd w:val="clear" w:color="auto" w:fill="auto"/>
            <w:noWrap/>
            <w:vAlign w:val="center"/>
            <w:hideMark/>
          </w:tcPr>
          <w:p w14:paraId="4A8364E3"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740,080</w:t>
            </w:r>
          </w:p>
        </w:tc>
        <w:tc>
          <w:tcPr>
            <w:tcW w:w="993" w:type="dxa"/>
            <w:tcBorders>
              <w:top w:val="nil"/>
              <w:left w:val="nil"/>
              <w:bottom w:val="nil"/>
              <w:right w:val="nil"/>
            </w:tcBorders>
            <w:shd w:val="clear" w:color="auto" w:fill="auto"/>
            <w:noWrap/>
            <w:vAlign w:val="center"/>
            <w:hideMark/>
          </w:tcPr>
          <w:p w14:paraId="2DC24783"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763,645</w:t>
            </w:r>
          </w:p>
        </w:tc>
        <w:tc>
          <w:tcPr>
            <w:tcW w:w="992" w:type="dxa"/>
            <w:tcBorders>
              <w:top w:val="nil"/>
              <w:left w:val="nil"/>
              <w:bottom w:val="nil"/>
              <w:right w:val="nil"/>
            </w:tcBorders>
            <w:shd w:val="clear" w:color="auto" w:fill="auto"/>
            <w:noWrap/>
            <w:vAlign w:val="center"/>
            <w:hideMark/>
          </w:tcPr>
          <w:p w14:paraId="113E2769"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784,031</w:t>
            </w:r>
          </w:p>
        </w:tc>
        <w:tc>
          <w:tcPr>
            <w:tcW w:w="1134" w:type="dxa"/>
            <w:tcBorders>
              <w:top w:val="nil"/>
              <w:left w:val="nil"/>
              <w:bottom w:val="nil"/>
              <w:right w:val="nil"/>
            </w:tcBorders>
            <w:shd w:val="clear" w:color="auto" w:fill="auto"/>
            <w:noWrap/>
            <w:vAlign w:val="center"/>
            <w:hideMark/>
          </w:tcPr>
          <w:p w14:paraId="187AB12D"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803,201</w:t>
            </w:r>
          </w:p>
        </w:tc>
        <w:tc>
          <w:tcPr>
            <w:tcW w:w="1134" w:type="dxa"/>
            <w:tcBorders>
              <w:top w:val="nil"/>
              <w:left w:val="nil"/>
              <w:bottom w:val="nil"/>
              <w:right w:val="nil"/>
            </w:tcBorders>
            <w:shd w:val="clear" w:color="auto" w:fill="auto"/>
            <w:noWrap/>
            <w:vAlign w:val="center"/>
            <w:hideMark/>
          </w:tcPr>
          <w:p w14:paraId="35EBD082"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816,413</w:t>
            </w:r>
          </w:p>
        </w:tc>
        <w:tc>
          <w:tcPr>
            <w:tcW w:w="1134" w:type="dxa"/>
            <w:tcBorders>
              <w:top w:val="nil"/>
              <w:left w:val="nil"/>
              <w:bottom w:val="nil"/>
              <w:right w:val="nil"/>
            </w:tcBorders>
            <w:shd w:val="clear" w:color="auto" w:fill="auto"/>
            <w:noWrap/>
            <w:vAlign w:val="center"/>
            <w:hideMark/>
          </w:tcPr>
          <w:p w14:paraId="32AAD7CE"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839,495</w:t>
            </w:r>
          </w:p>
        </w:tc>
        <w:tc>
          <w:tcPr>
            <w:tcW w:w="1134" w:type="dxa"/>
            <w:tcBorders>
              <w:top w:val="nil"/>
              <w:left w:val="nil"/>
              <w:bottom w:val="nil"/>
              <w:right w:val="nil"/>
            </w:tcBorders>
            <w:shd w:val="clear" w:color="auto" w:fill="auto"/>
            <w:noWrap/>
            <w:vAlign w:val="center"/>
            <w:hideMark/>
          </w:tcPr>
          <w:p w14:paraId="5F25C5BD"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859,820</w:t>
            </w:r>
          </w:p>
        </w:tc>
        <w:tc>
          <w:tcPr>
            <w:tcW w:w="1134" w:type="dxa"/>
            <w:tcBorders>
              <w:top w:val="nil"/>
              <w:left w:val="nil"/>
              <w:bottom w:val="nil"/>
              <w:right w:val="nil"/>
            </w:tcBorders>
            <w:shd w:val="clear" w:color="auto" w:fill="auto"/>
            <w:noWrap/>
            <w:vAlign w:val="center"/>
            <w:hideMark/>
          </w:tcPr>
          <w:p w14:paraId="471FBD93"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820,257</w:t>
            </w:r>
          </w:p>
        </w:tc>
        <w:tc>
          <w:tcPr>
            <w:tcW w:w="1134" w:type="dxa"/>
            <w:tcBorders>
              <w:top w:val="nil"/>
              <w:left w:val="nil"/>
              <w:bottom w:val="nil"/>
              <w:right w:val="nil"/>
            </w:tcBorders>
            <w:shd w:val="clear" w:color="auto" w:fill="auto"/>
            <w:noWrap/>
            <w:vAlign w:val="center"/>
            <w:hideMark/>
          </w:tcPr>
          <w:p w14:paraId="27B8890B"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788,848</w:t>
            </w:r>
          </w:p>
        </w:tc>
      </w:tr>
      <w:tr w:rsidR="0079537D" w:rsidRPr="003451DC" w14:paraId="2D5BDE4B" w14:textId="77777777" w:rsidTr="0079537D">
        <w:trPr>
          <w:trHeight w:val="330"/>
        </w:trPr>
        <w:tc>
          <w:tcPr>
            <w:tcW w:w="4678" w:type="dxa"/>
            <w:tcBorders>
              <w:top w:val="nil"/>
              <w:left w:val="nil"/>
              <w:bottom w:val="nil"/>
              <w:right w:val="nil"/>
            </w:tcBorders>
            <w:shd w:val="clear" w:color="auto" w:fill="auto"/>
            <w:noWrap/>
            <w:vAlign w:val="center"/>
            <w:hideMark/>
          </w:tcPr>
          <w:p w14:paraId="39A43F4E" w14:textId="77777777" w:rsidR="003451DC" w:rsidRPr="00DF1BDA" w:rsidRDefault="003451DC" w:rsidP="003451DC">
            <w:pPr>
              <w:widowControl/>
              <w:jc w:val="left"/>
              <w:rPr>
                <w:rFonts w:asciiTheme="minorEastAsia" w:hAnsiTheme="minorEastAsia" w:cs="Arial"/>
                <w:color w:val="000000"/>
                <w:kern w:val="0"/>
                <w:sz w:val="20"/>
                <w:szCs w:val="20"/>
              </w:rPr>
            </w:pPr>
            <w:r w:rsidRPr="00DF1BDA">
              <w:rPr>
                <w:rFonts w:asciiTheme="minorEastAsia" w:hAnsiTheme="minorEastAsia" w:cs="Arial" w:hint="eastAsia"/>
                <w:color w:val="000000"/>
                <w:kern w:val="0"/>
                <w:sz w:val="20"/>
                <w:szCs w:val="20"/>
              </w:rPr>
              <w:t xml:space="preserve">　自己資本</w:t>
            </w:r>
          </w:p>
        </w:tc>
        <w:tc>
          <w:tcPr>
            <w:tcW w:w="992" w:type="dxa"/>
            <w:tcBorders>
              <w:top w:val="nil"/>
              <w:left w:val="nil"/>
              <w:bottom w:val="nil"/>
              <w:right w:val="nil"/>
            </w:tcBorders>
            <w:shd w:val="clear" w:color="auto" w:fill="auto"/>
            <w:noWrap/>
            <w:vAlign w:val="center"/>
            <w:hideMark/>
          </w:tcPr>
          <w:p w14:paraId="6D1D5BA4"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740,080</w:t>
            </w:r>
          </w:p>
        </w:tc>
        <w:tc>
          <w:tcPr>
            <w:tcW w:w="993" w:type="dxa"/>
            <w:tcBorders>
              <w:top w:val="nil"/>
              <w:left w:val="nil"/>
              <w:bottom w:val="nil"/>
              <w:right w:val="nil"/>
            </w:tcBorders>
            <w:shd w:val="clear" w:color="auto" w:fill="auto"/>
            <w:noWrap/>
            <w:vAlign w:val="center"/>
            <w:hideMark/>
          </w:tcPr>
          <w:p w14:paraId="1A518749"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763,645</w:t>
            </w:r>
          </w:p>
        </w:tc>
        <w:tc>
          <w:tcPr>
            <w:tcW w:w="992" w:type="dxa"/>
            <w:tcBorders>
              <w:top w:val="nil"/>
              <w:left w:val="nil"/>
              <w:bottom w:val="nil"/>
              <w:right w:val="nil"/>
            </w:tcBorders>
            <w:shd w:val="clear" w:color="auto" w:fill="auto"/>
            <w:noWrap/>
            <w:vAlign w:val="center"/>
            <w:hideMark/>
          </w:tcPr>
          <w:p w14:paraId="44BFB3CA"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784,031</w:t>
            </w:r>
          </w:p>
        </w:tc>
        <w:tc>
          <w:tcPr>
            <w:tcW w:w="1134" w:type="dxa"/>
            <w:tcBorders>
              <w:top w:val="nil"/>
              <w:left w:val="nil"/>
              <w:bottom w:val="nil"/>
              <w:right w:val="nil"/>
            </w:tcBorders>
            <w:shd w:val="clear" w:color="auto" w:fill="auto"/>
            <w:noWrap/>
            <w:vAlign w:val="center"/>
            <w:hideMark/>
          </w:tcPr>
          <w:p w14:paraId="09613609"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803,201</w:t>
            </w:r>
          </w:p>
        </w:tc>
        <w:tc>
          <w:tcPr>
            <w:tcW w:w="1134" w:type="dxa"/>
            <w:tcBorders>
              <w:top w:val="nil"/>
              <w:left w:val="nil"/>
              <w:bottom w:val="nil"/>
              <w:right w:val="nil"/>
            </w:tcBorders>
            <w:shd w:val="clear" w:color="auto" w:fill="auto"/>
            <w:noWrap/>
            <w:vAlign w:val="center"/>
            <w:hideMark/>
          </w:tcPr>
          <w:p w14:paraId="7162AF17"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816,413</w:t>
            </w:r>
          </w:p>
        </w:tc>
        <w:tc>
          <w:tcPr>
            <w:tcW w:w="1134" w:type="dxa"/>
            <w:tcBorders>
              <w:top w:val="nil"/>
              <w:left w:val="nil"/>
              <w:bottom w:val="nil"/>
              <w:right w:val="nil"/>
            </w:tcBorders>
            <w:shd w:val="clear" w:color="auto" w:fill="auto"/>
            <w:noWrap/>
            <w:vAlign w:val="center"/>
            <w:hideMark/>
          </w:tcPr>
          <w:p w14:paraId="71E3EB8E"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839,495</w:t>
            </w:r>
          </w:p>
        </w:tc>
        <w:tc>
          <w:tcPr>
            <w:tcW w:w="1134" w:type="dxa"/>
            <w:tcBorders>
              <w:top w:val="nil"/>
              <w:left w:val="nil"/>
              <w:bottom w:val="nil"/>
              <w:right w:val="nil"/>
            </w:tcBorders>
            <w:shd w:val="clear" w:color="auto" w:fill="auto"/>
            <w:noWrap/>
            <w:vAlign w:val="center"/>
            <w:hideMark/>
          </w:tcPr>
          <w:p w14:paraId="4FD09D7F"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859,820</w:t>
            </w:r>
          </w:p>
        </w:tc>
        <w:tc>
          <w:tcPr>
            <w:tcW w:w="1134" w:type="dxa"/>
            <w:tcBorders>
              <w:top w:val="nil"/>
              <w:left w:val="nil"/>
              <w:bottom w:val="nil"/>
              <w:right w:val="nil"/>
            </w:tcBorders>
            <w:shd w:val="clear" w:color="auto" w:fill="auto"/>
            <w:noWrap/>
            <w:vAlign w:val="center"/>
            <w:hideMark/>
          </w:tcPr>
          <w:p w14:paraId="1136F52B"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820,257</w:t>
            </w:r>
          </w:p>
        </w:tc>
        <w:tc>
          <w:tcPr>
            <w:tcW w:w="1134" w:type="dxa"/>
            <w:tcBorders>
              <w:top w:val="nil"/>
              <w:left w:val="nil"/>
              <w:bottom w:val="nil"/>
              <w:right w:val="nil"/>
            </w:tcBorders>
            <w:shd w:val="clear" w:color="auto" w:fill="auto"/>
            <w:noWrap/>
            <w:vAlign w:val="center"/>
            <w:hideMark/>
          </w:tcPr>
          <w:p w14:paraId="046838E8"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788,848</w:t>
            </w:r>
          </w:p>
        </w:tc>
      </w:tr>
      <w:tr w:rsidR="0079537D" w:rsidRPr="003451DC" w14:paraId="76CAAB05" w14:textId="77777777" w:rsidTr="0079537D">
        <w:trPr>
          <w:trHeight w:val="330"/>
        </w:trPr>
        <w:tc>
          <w:tcPr>
            <w:tcW w:w="4678" w:type="dxa"/>
            <w:tcBorders>
              <w:top w:val="nil"/>
              <w:left w:val="nil"/>
              <w:bottom w:val="nil"/>
              <w:right w:val="nil"/>
            </w:tcBorders>
            <w:shd w:val="clear" w:color="auto" w:fill="auto"/>
            <w:noWrap/>
            <w:vAlign w:val="center"/>
            <w:hideMark/>
          </w:tcPr>
          <w:p w14:paraId="386BBE0F" w14:textId="77777777" w:rsidR="003451DC" w:rsidRPr="00DF1BDA" w:rsidRDefault="003451DC" w:rsidP="003451DC">
            <w:pPr>
              <w:widowControl/>
              <w:jc w:val="left"/>
              <w:rPr>
                <w:rFonts w:asciiTheme="minorEastAsia" w:hAnsiTheme="minorEastAsia" w:cs="Arial"/>
                <w:color w:val="000000"/>
                <w:kern w:val="0"/>
                <w:sz w:val="20"/>
                <w:szCs w:val="20"/>
              </w:rPr>
            </w:pPr>
            <w:r w:rsidRPr="00DF1BDA">
              <w:rPr>
                <w:rFonts w:asciiTheme="minorEastAsia" w:hAnsiTheme="minorEastAsia" w:cs="Arial" w:hint="eastAsia"/>
                <w:color w:val="000000"/>
                <w:kern w:val="0"/>
                <w:sz w:val="20"/>
                <w:szCs w:val="20"/>
              </w:rPr>
              <w:t xml:space="preserve">　　利益剰余金</w:t>
            </w:r>
          </w:p>
        </w:tc>
        <w:tc>
          <w:tcPr>
            <w:tcW w:w="992" w:type="dxa"/>
            <w:tcBorders>
              <w:top w:val="nil"/>
              <w:left w:val="nil"/>
              <w:bottom w:val="nil"/>
              <w:right w:val="nil"/>
            </w:tcBorders>
            <w:shd w:val="clear" w:color="auto" w:fill="auto"/>
            <w:noWrap/>
            <w:vAlign w:val="center"/>
            <w:hideMark/>
          </w:tcPr>
          <w:p w14:paraId="186724FC"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634,158</w:t>
            </w:r>
          </w:p>
        </w:tc>
        <w:tc>
          <w:tcPr>
            <w:tcW w:w="993" w:type="dxa"/>
            <w:tcBorders>
              <w:top w:val="nil"/>
              <w:left w:val="nil"/>
              <w:bottom w:val="nil"/>
              <w:right w:val="nil"/>
            </w:tcBorders>
            <w:shd w:val="clear" w:color="auto" w:fill="auto"/>
            <w:noWrap/>
            <w:vAlign w:val="center"/>
            <w:hideMark/>
          </w:tcPr>
          <w:p w14:paraId="4802A1BA"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656,386</w:t>
            </w:r>
          </w:p>
        </w:tc>
        <w:tc>
          <w:tcPr>
            <w:tcW w:w="992" w:type="dxa"/>
            <w:tcBorders>
              <w:top w:val="nil"/>
              <w:left w:val="nil"/>
              <w:bottom w:val="nil"/>
              <w:right w:val="nil"/>
            </w:tcBorders>
            <w:shd w:val="clear" w:color="auto" w:fill="auto"/>
            <w:noWrap/>
            <w:vAlign w:val="center"/>
            <w:hideMark/>
          </w:tcPr>
          <w:p w14:paraId="28032FAB"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680,792</w:t>
            </w:r>
          </w:p>
        </w:tc>
        <w:tc>
          <w:tcPr>
            <w:tcW w:w="1134" w:type="dxa"/>
            <w:tcBorders>
              <w:top w:val="nil"/>
              <w:left w:val="nil"/>
              <w:bottom w:val="nil"/>
              <w:right w:val="nil"/>
            </w:tcBorders>
            <w:shd w:val="clear" w:color="auto" w:fill="auto"/>
            <w:noWrap/>
            <w:vAlign w:val="center"/>
            <w:hideMark/>
          </w:tcPr>
          <w:p w14:paraId="1D487775"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696,718</w:t>
            </w:r>
          </w:p>
        </w:tc>
        <w:tc>
          <w:tcPr>
            <w:tcW w:w="1134" w:type="dxa"/>
            <w:tcBorders>
              <w:top w:val="nil"/>
              <w:left w:val="nil"/>
              <w:bottom w:val="nil"/>
              <w:right w:val="nil"/>
            </w:tcBorders>
            <w:shd w:val="clear" w:color="auto" w:fill="auto"/>
            <w:noWrap/>
            <w:vAlign w:val="center"/>
            <w:hideMark/>
          </w:tcPr>
          <w:p w14:paraId="001B9029"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712,400</w:t>
            </w:r>
          </w:p>
        </w:tc>
        <w:tc>
          <w:tcPr>
            <w:tcW w:w="1134" w:type="dxa"/>
            <w:tcBorders>
              <w:top w:val="nil"/>
              <w:left w:val="nil"/>
              <w:bottom w:val="nil"/>
              <w:right w:val="nil"/>
            </w:tcBorders>
            <w:shd w:val="clear" w:color="auto" w:fill="auto"/>
            <w:noWrap/>
            <w:vAlign w:val="center"/>
            <w:hideMark/>
          </w:tcPr>
          <w:p w14:paraId="3C762167"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732,561</w:t>
            </w:r>
          </w:p>
        </w:tc>
        <w:tc>
          <w:tcPr>
            <w:tcW w:w="1134" w:type="dxa"/>
            <w:tcBorders>
              <w:top w:val="nil"/>
              <w:left w:val="nil"/>
              <w:bottom w:val="nil"/>
              <w:right w:val="nil"/>
            </w:tcBorders>
            <w:shd w:val="clear" w:color="auto" w:fill="auto"/>
            <w:noWrap/>
            <w:vAlign w:val="center"/>
            <w:hideMark/>
          </w:tcPr>
          <w:p w14:paraId="1AEC4237"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753,227</w:t>
            </w:r>
          </w:p>
        </w:tc>
        <w:tc>
          <w:tcPr>
            <w:tcW w:w="1134" w:type="dxa"/>
            <w:tcBorders>
              <w:top w:val="nil"/>
              <w:left w:val="nil"/>
              <w:bottom w:val="nil"/>
              <w:right w:val="nil"/>
            </w:tcBorders>
            <w:shd w:val="clear" w:color="auto" w:fill="auto"/>
            <w:noWrap/>
            <w:vAlign w:val="center"/>
            <w:hideMark/>
          </w:tcPr>
          <w:p w14:paraId="74B4F904"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744,452</w:t>
            </w:r>
          </w:p>
        </w:tc>
        <w:tc>
          <w:tcPr>
            <w:tcW w:w="1134" w:type="dxa"/>
            <w:tcBorders>
              <w:top w:val="nil"/>
              <w:left w:val="nil"/>
              <w:bottom w:val="nil"/>
              <w:right w:val="nil"/>
            </w:tcBorders>
            <w:shd w:val="clear" w:color="auto" w:fill="auto"/>
            <w:noWrap/>
            <w:vAlign w:val="center"/>
            <w:hideMark/>
          </w:tcPr>
          <w:p w14:paraId="5DC201C4"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712,371</w:t>
            </w:r>
          </w:p>
        </w:tc>
      </w:tr>
      <w:tr w:rsidR="0079537D" w:rsidRPr="003451DC" w14:paraId="30588793" w14:textId="77777777" w:rsidTr="0079537D">
        <w:trPr>
          <w:trHeight w:val="330"/>
        </w:trPr>
        <w:tc>
          <w:tcPr>
            <w:tcW w:w="4678" w:type="dxa"/>
            <w:tcBorders>
              <w:top w:val="nil"/>
              <w:left w:val="nil"/>
              <w:bottom w:val="single" w:sz="4" w:space="0" w:color="000000"/>
              <w:right w:val="nil"/>
            </w:tcBorders>
            <w:shd w:val="clear" w:color="auto" w:fill="auto"/>
            <w:noWrap/>
            <w:vAlign w:val="center"/>
            <w:hideMark/>
          </w:tcPr>
          <w:p w14:paraId="580FD175" w14:textId="77777777" w:rsidR="003451DC" w:rsidRPr="00DF1BDA" w:rsidRDefault="003451DC" w:rsidP="003451DC">
            <w:pPr>
              <w:widowControl/>
              <w:jc w:val="left"/>
              <w:rPr>
                <w:rFonts w:asciiTheme="minorEastAsia" w:hAnsiTheme="minorEastAsia" w:cs="Calibri"/>
                <w:color w:val="000000"/>
                <w:kern w:val="0"/>
                <w:sz w:val="20"/>
                <w:szCs w:val="20"/>
              </w:rPr>
            </w:pPr>
            <w:r w:rsidRPr="00DF1BDA">
              <w:rPr>
                <w:rFonts w:asciiTheme="minorEastAsia" w:hAnsiTheme="minorEastAsia" w:cs="Calibri"/>
                <w:color w:val="000000"/>
                <w:kern w:val="0"/>
                <w:sz w:val="20"/>
                <w:szCs w:val="20"/>
              </w:rPr>
              <w:t>負債・純資産</w:t>
            </w:r>
          </w:p>
        </w:tc>
        <w:tc>
          <w:tcPr>
            <w:tcW w:w="992" w:type="dxa"/>
            <w:tcBorders>
              <w:top w:val="nil"/>
              <w:left w:val="nil"/>
              <w:bottom w:val="single" w:sz="4" w:space="0" w:color="auto"/>
              <w:right w:val="nil"/>
            </w:tcBorders>
            <w:shd w:val="clear" w:color="auto" w:fill="auto"/>
            <w:noWrap/>
            <w:vAlign w:val="center"/>
            <w:hideMark/>
          </w:tcPr>
          <w:p w14:paraId="71E34C0B"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911,444</w:t>
            </w:r>
          </w:p>
        </w:tc>
        <w:tc>
          <w:tcPr>
            <w:tcW w:w="993" w:type="dxa"/>
            <w:tcBorders>
              <w:top w:val="nil"/>
              <w:left w:val="nil"/>
              <w:bottom w:val="single" w:sz="4" w:space="0" w:color="auto"/>
              <w:right w:val="nil"/>
            </w:tcBorders>
            <w:shd w:val="clear" w:color="auto" w:fill="auto"/>
            <w:noWrap/>
            <w:vAlign w:val="center"/>
            <w:hideMark/>
          </w:tcPr>
          <w:p w14:paraId="37E93A55"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943,751</w:t>
            </w:r>
          </w:p>
        </w:tc>
        <w:tc>
          <w:tcPr>
            <w:tcW w:w="992" w:type="dxa"/>
            <w:tcBorders>
              <w:top w:val="nil"/>
              <w:left w:val="nil"/>
              <w:bottom w:val="single" w:sz="4" w:space="0" w:color="auto"/>
              <w:right w:val="nil"/>
            </w:tcBorders>
            <w:shd w:val="clear" w:color="auto" w:fill="auto"/>
            <w:noWrap/>
            <w:vAlign w:val="center"/>
            <w:hideMark/>
          </w:tcPr>
          <w:p w14:paraId="096F9DEF"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961,246</w:t>
            </w:r>
          </w:p>
        </w:tc>
        <w:tc>
          <w:tcPr>
            <w:tcW w:w="1134" w:type="dxa"/>
            <w:tcBorders>
              <w:top w:val="nil"/>
              <w:left w:val="nil"/>
              <w:bottom w:val="single" w:sz="4" w:space="0" w:color="auto"/>
              <w:right w:val="nil"/>
            </w:tcBorders>
            <w:shd w:val="clear" w:color="auto" w:fill="auto"/>
            <w:noWrap/>
            <w:vAlign w:val="center"/>
            <w:hideMark/>
          </w:tcPr>
          <w:p w14:paraId="1A0A7F24"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1,051,455</w:t>
            </w:r>
          </w:p>
        </w:tc>
        <w:tc>
          <w:tcPr>
            <w:tcW w:w="1134" w:type="dxa"/>
            <w:tcBorders>
              <w:top w:val="nil"/>
              <w:left w:val="nil"/>
              <w:bottom w:val="single" w:sz="4" w:space="0" w:color="auto"/>
              <w:right w:val="nil"/>
            </w:tcBorders>
            <w:shd w:val="clear" w:color="auto" w:fill="auto"/>
            <w:noWrap/>
            <w:vAlign w:val="center"/>
            <w:hideMark/>
          </w:tcPr>
          <w:p w14:paraId="1FBC4D17"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1,042,483</w:t>
            </w:r>
          </w:p>
        </w:tc>
        <w:tc>
          <w:tcPr>
            <w:tcW w:w="1134" w:type="dxa"/>
            <w:tcBorders>
              <w:top w:val="nil"/>
              <w:left w:val="nil"/>
              <w:bottom w:val="single" w:sz="4" w:space="0" w:color="auto"/>
              <w:right w:val="nil"/>
            </w:tcBorders>
            <w:shd w:val="clear" w:color="auto" w:fill="auto"/>
            <w:noWrap/>
            <w:vAlign w:val="center"/>
            <w:hideMark/>
          </w:tcPr>
          <w:p w14:paraId="15E62A00"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1,064,186</w:t>
            </w:r>
          </w:p>
        </w:tc>
        <w:tc>
          <w:tcPr>
            <w:tcW w:w="1134" w:type="dxa"/>
            <w:tcBorders>
              <w:top w:val="nil"/>
              <w:left w:val="nil"/>
              <w:bottom w:val="single" w:sz="4" w:space="0" w:color="auto"/>
              <w:right w:val="nil"/>
            </w:tcBorders>
            <w:shd w:val="clear" w:color="auto" w:fill="auto"/>
            <w:noWrap/>
            <w:vAlign w:val="center"/>
            <w:hideMark/>
          </w:tcPr>
          <w:p w14:paraId="39E5EFC8"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1,090,877</w:t>
            </w:r>
          </w:p>
        </w:tc>
        <w:tc>
          <w:tcPr>
            <w:tcW w:w="1134" w:type="dxa"/>
            <w:tcBorders>
              <w:top w:val="nil"/>
              <w:left w:val="nil"/>
              <w:bottom w:val="single" w:sz="4" w:space="0" w:color="auto"/>
              <w:right w:val="nil"/>
            </w:tcBorders>
            <w:shd w:val="clear" w:color="auto" w:fill="auto"/>
            <w:noWrap/>
            <w:vAlign w:val="center"/>
            <w:hideMark/>
          </w:tcPr>
          <w:p w14:paraId="452CA4D2"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1,010,651</w:t>
            </w:r>
          </w:p>
        </w:tc>
        <w:tc>
          <w:tcPr>
            <w:tcW w:w="1134" w:type="dxa"/>
            <w:tcBorders>
              <w:top w:val="nil"/>
              <w:left w:val="nil"/>
              <w:bottom w:val="single" w:sz="4" w:space="0" w:color="auto"/>
              <w:right w:val="nil"/>
            </w:tcBorders>
            <w:shd w:val="clear" w:color="auto" w:fill="auto"/>
            <w:noWrap/>
            <w:vAlign w:val="center"/>
            <w:hideMark/>
          </w:tcPr>
          <w:p w14:paraId="5CBBEBF9" w14:textId="77777777" w:rsidR="003451DC" w:rsidRPr="00C74F0E" w:rsidRDefault="003451DC" w:rsidP="003451DC">
            <w:pPr>
              <w:widowControl/>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963,336</w:t>
            </w:r>
          </w:p>
        </w:tc>
      </w:tr>
    </w:tbl>
    <w:p w14:paraId="0EE3EC98" w14:textId="7E77C8A5" w:rsidR="003451DC" w:rsidRDefault="0079537D">
      <w:pPr>
        <w:widowControl/>
        <w:jc w:val="left"/>
      </w:pPr>
      <w:r>
        <w:rPr>
          <w:rFonts w:hint="eastAsia"/>
        </w:rPr>
        <w:t>出典：オリエンタルランド</w:t>
      </w:r>
      <w:r w:rsidR="00AF3BD8">
        <w:rPr>
          <w:rFonts w:hint="eastAsia"/>
        </w:rPr>
        <w:t>社</w:t>
      </w:r>
      <w:r>
        <w:rPr>
          <w:rFonts w:hint="eastAsia"/>
        </w:rPr>
        <w:t>「四半期報告書」より筆者作成。</w:t>
      </w:r>
      <w:r w:rsidR="00B15EF4">
        <w:rPr>
          <w:rFonts w:hint="eastAsia"/>
        </w:rPr>
        <w:t>単位は百万円。</w:t>
      </w:r>
    </w:p>
    <w:p w14:paraId="43DF738E" w14:textId="6924ECD9" w:rsidR="0024372F" w:rsidRPr="0024372F" w:rsidRDefault="0024372F">
      <w:pPr>
        <w:widowControl/>
        <w:jc w:val="left"/>
      </w:pPr>
      <w:r>
        <w:rPr>
          <w:rFonts w:hint="eastAsia"/>
        </w:rPr>
        <w:lastRenderedPageBreak/>
        <w:t>表</w:t>
      </w:r>
      <w:r w:rsidR="00DF1BDA">
        <w:t>10</w:t>
      </w:r>
      <w:r>
        <w:rPr>
          <w:rFonts w:hint="eastAsia"/>
        </w:rPr>
        <w:t xml:space="preserve">　</w:t>
      </w:r>
      <w:r w:rsidR="001B11F1">
        <w:rPr>
          <w:rFonts w:hint="eastAsia"/>
        </w:rPr>
        <w:t>財務諸表の</w:t>
      </w:r>
      <w:r>
        <w:rPr>
          <w:rFonts w:hint="eastAsia"/>
        </w:rPr>
        <w:t>安全性分析（四半期）</w:t>
      </w:r>
    </w:p>
    <w:tbl>
      <w:tblPr>
        <w:tblW w:w="0" w:type="auto"/>
        <w:tblInd w:w="-30" w:type="dxa"/>
        <w:tblLayout w:type="fixed"/>
        <w:tblCellMar>
          <w:left w:w="99" w:type="dxa"/>
          <w:right w:w="99" w:type="dxa"/>
        </w:tblCellMar>
        <w:tblLook w:val="0000" w:firstRow="0" w:lastRow="0" w:firstColumn="0" w:lastColumn="0" w:noHBand="0" w:noVBand="0"/>
      </w:tblPr>
      <w:tblGrid>
        <w:gridCol w:w="4195"/>
        <w:gridCol w:w="977"/>
        <w:gridCol w:w="977"/>
        <w:gridCol w:w="977"/>
        <w:gridCol w:w="1072"/>
        <w:gridCol w:w="1073"/>
        <w:gridCol w:w="1073"/>
        <w:gridCol w:w="1073"/>
        <w:gridCol w:w="1073"/>
        <w:gridCol w:w="976"/>
      </w:tblGrid>
      <w:tr w:rsidR="00AD30B9" w14:paraId="68993100" w14:textId="77777777" w:rsidTr="00E0409C">
        <w:trPr>
          <w:trHeight w:val="319"/>
        </w:trPr>
        <w:tc>
          <w:tcPr>
            <w:tcW w:w="4195" w:type="dxa"/>
            <w:tcBorders>
              <w:top w:val="single" w:sz="6" w:space="0" w:color="auto"/>
              <w:left w:val="nil"/>
              <w:bottom w:val="single" w:sz="6" w:space="0" w:color="auto"/>
              <w:right w:val="nil"/>
            </w:tcBorders>
          </w:tcPr>
          <w:p w14:paraId="223C93CD" w14:textId="6ADA0980" w:rsidR="00AD30B9" w:rsidRDefault="00AD30B9" w:rsidP="00AD30B9">
            <w:pPr>
              <w:autoSpaceDE w:val="0"/>
              <w:autoSpaceDN w:val="0"/>
              <w:adjustRightInd w:val="0"/>
              <w:jc w:val="left"/>
              <w:rPr>
                <w:rFonts w:ascii="Calibri" w:hAnsi="Calibri" w:cs="Calibri"/>
                <w:b/>
                <w:bCs/>
                <w:color w:val="000000"/>
                <w:kern w:val="0"/>
                <w:sz w:val="20"/>
                <w:szCs w:val="20"/>
              </w:rPr>
            </w:pPr>
            <w:r>
              <w:rPr>
                <w:rFonts w:ascii="Calibri" w:hAnsi="Calibri" w:cs="Calibri"/>
                <w:b/>
                <w:bCs/>
                <w:color w:val="000000"/>
                <w:kern w:val="0"/>
                <w:sz w:val="20"/>
                <w:szCs w:val="20"/>
              </w:rPr>
              <w:t>安全性</w:t>
            </w:r>
            <w:r>
              <w:rPr>
                <w:rFonts w:ascii="Calibri" w:hAnsi="Calibri" w:cs="Calibri" w:hint="eastAsia"/>
                <w:b/>
                <w:bCs/>
                <w:color w:val="000000"/>
                <w:kern w:val="0"/>
                <w:sz w:val="20"/>
                <w:szCs w:val="20"/>
              </w:rPr>
              <w:t>分析</w:t>
            </w:r>
          </w:p>
        </w:tc>
        <w:tc>
          <w:tcPr>
            <w:tcW w:w="977" w:type="dxa"/>
            <w:tcBorders>
              <w:top w:val="single" w:sz="6" w:space="0" w:color="000000"/>
              <w:left w:val="nil"/>
              <w:bottom w:val="single" w:sz="6" w:space="0" w:color="000000"/>
              <w:right w:val="nil"/>
            </w:tcBorders>
            <w:vAlign w:val="center"/>
          </w:tcPr>
          <w:p w14:paraId="08FEE024" w14:textId="0C30DB07" w:rsidR="00AD30B9" w:rsidRPr="00C74F0E" w:rsidRDefault="00AD30B9" w:rsidP="00AD30B9">
            <w:pPr>
              <w:autoSpaceDE w:val="0"/>
              <w:autoSpaceDN w:val="0"/>
              <w:adjustRightInd w:val="0"/>
              <w:jc w:val="center"/>
              <w:rPr>
                <w:rFonts w:ascii="Century" w:hAnsi="Century" w:cs="Arial"/>
                <w:b/>
                <w:bCs/>
                <w:color w:val="000000"/>
                <w:kern w:val="0"/>
                <w:sz w:val="20"/>
                <w:szCs w:val="20"/>
              </w:rPr>
            </w:pPr>
            <w:r w:rsidRPr="00C74F0E">
              <w:rPr>
                <w:rFonts w:ascii="Century" w:eastAsia="ＭＳ Ｐゴシック" w:hAnsi="Century" w:cs="Arial"/>
                <w:b/>
                <w:bCs/>
                <w:color w:val="000000"/>
                <w:kern w:val="0"/>
                <w:sz w:val="20"/>
                <w:szCs w:val="20"/>
              </w:rPr>
              <w:t>19.Q1</w:t>
            </w:r>
          </w:p>
        </w:tc>
        <w:tc>
          <w:tcPr>
            <w:tcW w:w="977" w:type="dxa"/>
            <w:tcBorders>
              <w:top w:val="single" w:sz="6" w:space="0" w:color="000000"/>
              <w:left w:val="nil"/>
              <w:bottom w:val="single" w:sz="6" w:space="0" w:color="000000"/>
              <w:right w:val="nil"/>
            </w:tcBorders>
            <w:vAlign w:val="center"/>
          </w:tcPr>
          <w:p w14:paraId="34E96F30" w14:textId="05EA1E36" w:rsidR="00AD30B9" w:rsidRPr="00C74F0E" w:rsidRDefault="00AD30B9" w:rsidP="00AD30B9">
            <w:pPr>
              <w:autoSpaceDE w:val="0"/>
              <w:autoSpaceDN w:val="0"/>
              <w:adjustRightInd w:val="0"/>
              <w:jc w:val="center"/>
              <w:rPr>
                <w:rFonts w:ascii="Century" w:hAnsi="Century" w:cs="Arial"/>
                <w:b/>
                <w:bCs/>
                <w:color w:val="000000"/>
                <w:kern w:val="0"/>
                <w:sz w:val="20"/>
                <w:szCs w:val="20"/>
              </w:rPr>
            </w:pPr>
            <w:r w:rsidRPr="00C74F0E">
              <w:rPr>
                <w:rFonts w:ascii="Century" w:eastAsia="ＭＳ Ｐゴシック" w:hAnsi="Century" w:cs="Arial"/>
                <w:b/>
                <w:bCs/>
                <w:color w:val="000000"/>
                <w:kern w:val="0"/>
                <w:sz w:val="20"/>
                <w:szCs w:val="20"/>
              </w:rPr>
              <w:t>19.Q2</w:t>
            </w:r>
          </w:p>
        </w:tc>
        <w:tc>
          <w:tcPr>
            <w:tcW w:w="977" w:type="dxa"/>
            <w:tcBorders>
              <w:top w:val="single" w:sz="6" w:space="0" w:color="000000"/>
              <w:left w:val="nil"/>
              <w:bottom w:val="single" w:sz="6" w:space="0" w:color="000000"/>
              <w:right w:val="nil"/>
            </w:tcBorders>
            <w:vAlign w:val="center"/>
          </w:tcPr>
          <w:p w14:paraId="7A5B616C" w14:textId="67D16AB7" w:rsidR="00AD30B9" w:rsidRPr="00C74F0E" w:rsidRDefault="00AD30B9" w:rsidP="00AD30B9">
            <w:pPr>
              <w:autoSpaceDE w:val="0"/>
              <w:autoSpaceDN w:val="0"/>
              <w:adjustRightInd w:val="0"/>
              <w:jc w:val="center"/>
              <w:rPr>
                <w:rFonts w:ascii="Century" w:hAnsi="Century" w:cs="Arial"/>
                <w:b/>
                <w:bCs/>
                <w:color w:val="000000"/>
                <w:kern w:val="0"/>
                <w:sz w:val="20"/>
                <w:szCs w:val="20"/>
              </w:rPr>
            </w:pPr>
            <w:r w:rsidRPr="00C74F0E">
              <w:rPr>
                <w:rFonts w:ascii="Century" w:eastAsia="ＭＳ Ｐゴシック" w:hAnsi="Century" w:cs="Arial"/>
                <w:b/>
                <w:bCs/>
                <w:color w:val="000000"/>
                <w:kern w:val="0"/>
                <w:sz w:val="20"/>
                <w:szCs w:val="20"/>
              </w:rPr>
              <w:t>19.Q3</w:t>
            </w:r>
          </w:p>
        </w:tc>
        <w:tc>
          <w:tcPr>
            <w:tcW w:w="1072" w:type="dxa"/>
            <w:tcBorders>
              <w:top w:val="single" w:sz="6" w:space="0" w:color="000000"/>
              <w:left w:val="nil"/>
              <w:bottom w:val="single" w:sz="6" w:space="0" w:color="000000"/>
              <w:right w:val="nil"/>
            </w:tcBorders>
            <w:vAlign w:val="center"/>
          </w:tcPr>
          <w:p w14:paraId="1EB55609" w14:textId="2A733068" w:rsidR="00AD30B9" w:rsidRPr="00C74F0E" w:rsidRDefault="00AD30B9" w:rsidP="00AD30B9">
            <w:pPr>
              <w:autoSpaceDE w:val="0"/>
              <w:autoSpaceDN w:val="0"/>
              <w:adjustRightInd w:val="0"/>
              <w:jc w:val="center"/>
              <w:rPr>
                <w:rFonts w:ascii="Century" w:hAnsi="Century" w:cs="Arial"/>
                <w:b/>
                <w:bCs/>
                <w:color w:val="000000"/>
                <w:kern w:val="0"/>
                <w:sz w:val="20"/>
                <w:szCs w:val="20"/>
              </w:rPr>
            </w:pPr>
            <w:r w:rsidRPr="00C74F0E">
              <w:rPr>
                <w:rFonts w:ascii="Century" w:eastAsia="ＭＳ Ｐゴシック" w:hAnsi="Century" w:cs="Arial"/>
                <w:b/>
                <w:bCs/>
                <w:color w:val="000000"/>
                <w:kern w:val="0"/>
                <w:sz w:val="20"/>
                <w:szCs w:val="20"/>
              </w:rPr>
              <w:t>19.Q4</w:t>
            </w:r>
          </w:p>
        </w:tc>
        <w:tc>
          <w:tcPr>
            <w:tcW w:w="1073" w:type="dxa"/>
            <w:tcBorders>
              <w:top w:val="single" w:sz="6" w:space="0" w:color="000000"/>
              <w:left w:val="nil"/>
              <w:bottom w:val="single" w:sz="6" w:space="0" w:color="000000"/>
              <w:right w:val="nil"/>
            </w:tcBorders>
            <w:vAlign w:val="center"/>
          </w:tcPr>
          <w:p w14:paraId="2DB25D07" w14:textId="58896E53" w:rsidR="00AD30B9" w:rsidRPr="00C74F0E" w:rsidRDefault="00AD30B9" w:rsidP="00AD30B9">
            <w:pPr>
              <w:autoSpaceDE w:val="0"/>
              <w:autoSpaceDN w:val="0"/>
              <w:adjustRightInd w:val="0"/>
              <w:jc w:val="center"/>
              <w:rPr>
                <w:rFonts w:ascii="Century" w:hAnsi="Century" w:cs="Arial"/>
                <w:b/>
                <w:bCs/>
                <w:color w:val="000000"/>
                <w:kern w:val="0"/>
                <w:sz w:val="20"/>
                <w:szCs w:val="20"/>
              </w:rPr>
            </w:pPr>
            <w:r w:rsidRPr="00C74F0E">
              <w:rPr>
                <w:rFonts w:ascii="Century" w:eastAsia="ＭＳ Ｐゴシック" w:hAnsi="Century" w:cs="Arial"/>
                <w:b/>
                <w:bCs/>
                <w:color w:val="000000"/>
                <w:kern w:val="0"/>
                <w:sz w:val="20"/>
                <w:szCs w:val="20"/>
              </w:rPr>
              <w:t>20.Q1</w:t>
            </w:r>
          </w:p>
        </w:tc>
        <w:tc>
          <w:tcPr>
            <w:tcW w:w="1073" w:type="dxa"/>
            <w:tcBorders>
              <w:top w:val="single" w:sz="6" w:space="0" w:color="000000"/>
              <w:left w:val="nil"/>
              <w:bottom w:val="single" w:sz="6" w:space="0" w:color="000000"/>
              <w:right w:val="nil"/>
            </w:tcBorders>
            <w:vAlign w:val="center"/>
          </w:tcPr>
          <w:p w14:paraId="2EA7B381" w14:textId="42FF064C" w:rsidR="00AD30B9" w:rsidRPr="00C74F0E" w:rsidRDefault="00AD30B9" w:rsidP="00AD30B9">
            <w:pPr>
              <w:autoSpaceDE w:val="0"/>
              <w:autoSpaceDN w:val="0"/>
              <w:adjustRightInd w:val="0"/>
              <w:jc w:val="center"/>
              <w:rPr>
                <w:rFonts w:ascii="Century" w:hAnsi="Century" w:cs="Arial"/>
                <w:b/>
                <w:bCs/>
                <w:color w:val="000000"/>
                <w:kern w:val="0"/>
                <w:sz w:val="20"/>
                <w:szCs w:val="20"/>
              </w:rPr>
            </w:pPr>
            <w:r w:rsidRPr="00C74F0E">
              <w:rPr>
                <w:rFonts w:ascii="Century" w:eastAsia="ＭＳ Ｐゴシック" w:hAnsi="Century" w:cs="Arial"/>
                <w:b/>
                <w:bCs/>
                <w:color w:val="000000"/>
                <w:kern w:val="0"/>
                <w:sz w:val="20"/>
                <w:szCs w:val="20"/>
              </w:rPr>
              <w:t>20.Q2</w:t>
            </w:r>
          </w:p>
        </w:tc>
        <w:tc>
          <w:tcPr>
            <w:tcW w:w="1073" w:type="dxa"/>
            <w:tcBorders>
              <w:top w:val="single" w:sz="6" w:space="0" w:color="000000"/>
              <w:left w:val="nil"/>
              <w:bottom w:val="single" w:sz="6" w:space="0" w:color="000000"/>
              <w:right w:val="nil"/>
            </w:tcBorders>
            <w:vAlign w:val="center"/>
          </w:tcPr>
          <w:p w14:paraId="729E2D28" w14:textId="64EF2B9D" w:rsidR="00AD30B9" w:rsidRPr="00C74F0E" w:rsidRDefault="00AD30B9" w:rsidP="00AD30B9">
            <w:pPr>
              <w:autoSpaceDE w:val="0"/>
              <w:autoSpaceDN w:val="0"/>
              <w:adjustRightInd w:val="0"/>
              <w:jc w:val="center"/>
              <w:rPr>
                <w:rFonts w:ascii="Century" w:hAnsi="Century" w:cs="Arial"/>
                <w:b/>
                <w:bCs/>
                <w:color w:val="000000"/>
                <w:kern w:val="0"/>
                <w:sz w:val="20"/>
                <w:szCs w:val="20"/>
              </w:rPr>
            </w:pPr>
            <w:r w:rsidRPr="00C74F0E">
              <w:rPr>
                <w:rFonts w:ascii="Century" w:eastAsia="ＭＳ Ｐゴシック" w:hAnsi="Century" w:cs="Arial"/>
                <w:b/>
                <w:bCs/>
                <w:color w:val="000000"/>
                <w:kern w:val="0"/>
                <w:sz w:val="20"/>
                <w:szCs w:val="20"/>
              </w:rPr>
              <w:t>20.Q3</w:t>
            </w:r>
          </w:p>
        </w:tc>
        <w:tc>
          <w:tcPr>
            <w:tcW w:w="1073" w:type="dxa"/>
            <w:tcBorders>
              <w:top w:val="single" w:sz="6" w:space="0" w:color="000000"/>
              <w:left w:val="nil"/>
              <w:bottom w:val="single" w:sz="6" w:space="0" w:color="000000"/>
              <w:right w:val="nil"/>
            </w:tcBorders>
            <w:vAlign w:val="center"/>
          </w:tcPr>
          <w:p w14:paraId="39375ACE" w14:textId="4A37ABFB" w:rsidR="00AD30B9" w:rsidRPr="00C74F0E" w:rsidRDefault="00AD30B9" w:rsidP="00AD30B9">
            <w:pPr>
              <w:autoSpaceDE w:val="0"/>
              <w:autoSpaceDN w:val="0"/>
              <w:adjustRightInd w:val="0"/>
              <w:jc w:val="center"/>
              <w:rPr>
                <w:rFonts w:ascii="Century" w:hAnsi="Century" w:cs="Arial"/>
                <w:b/>
                <w:bCs/>
                <w:color w:val="000000"/>
                <w:kern w:val="0"/>
                <w:sz w:val="20"/>
                <w:szCs w:val="20"/>
              </w:rPr>
            </w:pPr>
            <w:r w:rsidRPr="00C74F0E">
              <w:rPr>
                <w:rFonts w:ascii="Century" w:eastAsia="ＭＳ Ｐゴシック" w:hAnsi="Century" w:cs="Arial"/>
                <w:b/>
                <w:bCs/>
                <w:color w:val="000000"/>
                <w:kern w:val="0"/>
                <w:sz w:val="20"/>
                <w:szCs w:val="20"/>
              </w:rPr>
              <w:t>20.Q4</w:t>
            </w:r>
          </w:p>
        </w:tc>
        <w:tc>
          <w:tcPr>
            <w:tcW w:w="976" w:type="dxa"/>
            <w:tcBorders>
              <w:top w:val="single" w:sz="6" w:space="0" w:color="000000"/>
              <w:left w:val="nil"/>
              <w:bottom w:val="single" w:sz="6" w:space="0" w:color="000000"/>
              <w:right w:val="nil"/>
            </w:tcBorders>
            <w:vAlign w:val="center"/>
          </w:tcPr>
          <w:p w14:paraId="1BA373AB" w14:textId="6C99E604" w:rsidR="00AD30B9" w:rsidRPr="00C74F0E" w:rsidRDefault="00AD30B9" w:rsidP="00AD30B9">
            <w:pPr>
              <w:autoSpaceDE w:val="0"/>
              <w:autoSpaceDN w:val="0"/>
              <w:adjustRightInd w:val="0"/>
              <w:jc w:val="center"/>
              <w:rPr>
                <w:rFonts w:ascii="Century" w:hAnsi="Century" w:cs="Arial"/>
                <w:b/>
                <w:bCs/>
                <w:color w:val="000000"/>
                <w:kern w:val="0"/>
                <w:sz w:val="20"/>
                <w:szCs w:val="20"/>
              </w:rPr>
            </w:pPr>
            <w:r w:rsidRPr="00C74F0E">
              <w:rPr>
                <w:rFonts w:ascii="Century" w:eastAsia="ＭＳ Ｐゴシック" w:hAnsi="Century" w:cs="Arial"/>
                <w:b/>
                <w:bCs/>
                <w:color w:val="000000"/>
                <w:kern w:val="0"/>
                <w:sz w:val="20"/>
                <w:szCs w:val="20"/>
              </w:rPr>
              <w:t>21.Q1</w:t>
            </w:r>
          </w:p>
        </w:tc>
      </w:tr>
      <w:tr w:rsidR="0024372F" w14:paraId="4DB228EF" w14:textId="77777777" w:rsidTr="0024372F">
        <w:trPr>
          <w:trHeight w:val="319"/>
        </w:trPr>
        <w:tc>
          <w:tcPr>
            <w:tcW w:w="4195" w:type="dxa"/>
            <w:tcBorders>
              <w:top w:val="nil"/>
              <w:left w:val="nil"/>
              <w:bottom w:val="nil"/>
              <w:right w:val="nil"/>
            </w:tcBorders>
          </w:tcPr>
          <w:p w14:paraId="57F9AA96" w14:textId="77777777" w:rsidR="0024372F" w:rsidRDefault="0024372F">
            <w:pPr>
              <w:autoSpaceDE w:val="0"/>
              <w:autoSpaceDN w:val="0"/>
              <w:adjustRightInd w:val="0"/>
              <w:jc w:val="left"/>
              <w:rPr>
                <w:rFonts w:ascii="Calibri" w:hAnsi="Calibri" w:cs="Calibri"/>
                <w:color w:val="000000"/>
                <w:kern w:val="0"/>
                <w:sz w:val="20"/>
                <w:szCs w:val="20"/>
              </w:rPr>
            </w:pPr>
            <w:r>
              <w:rPr>
                <w:rFonts w:ascii="Calibri" w:hAnsi="Calibri" w:cs="Calibri"/>
                <w:color w:val="000000"/>
                <w:kern w:val="0"/>
                <w:sz w:val="20"/>
                <w:szCs w:val="20"/>
              </w:rPr>
              <w:t>自己資本比率</w:t>
            </w:r>
          </w:p>
        </w:tc>
        <w:tc>
          <w:tcPr>
            <w:tcW w:w="977" w:type="dxa"/>
            <w:tcBorders>
              <w:top w:val="nil"/>
              <w:left w:val="nil"/>
              <w:bottom w:val="nil"/>
              <w:right w:val="nil"/>
            </w:tcBorders>
          </w:tcPr>
          <w:p w14:paraId="20121150"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81.2%</w:t>
            </w:r>
          </w:p>
        </w:tc>
        <w:tc>
          <w:tcPr>
            <w:tcW w:w="977" w:type="dxa"/>
            <w:tcBorders>
              <w:top w:val="nil"/>
              <w:left w:val="nil"/>
              <w:bottom w:val="nil"/>
              <w:right w:val="nil"/>
            </w:tcBorders>
          </w:tcPr>
          <w:p w14:paraId="702EF537"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80.9%</w:t>
            </w:r>
          </w:p>
        </w:tc>
        <w:tc>
          <w:tcPr>
            <w:tcW w:w="977" w:type="dxa"/>
            <w:tcBorders>
              <w:top w:val="nil"/>
              <w:left w:val="nil"/>
              <w:bottom w:val="nil"/>
              <w:right w:val="nil"/>
            </w:tcBorders>
          </w:tcPr>
          <w:p w14:paraId="54821FF0"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81.6%</w:t>
            </w:r>
          </w:p>
        </w:tc>
        <w:tc>
          <w:tcPr>
            <w:tcW w:w="1072" w:type="dxa"/>
            <w:tcBorders>
              <w:top w:val="nil"/>
              <w:left w:val="nil"/>
              <w:bottom w:val="nil"/>
              <w:right w:val="nil"/>
            </w:tcBorders>
          </w:tcPr>
          <w:p w14:paraId="1F1015D4"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76.4%</w:t>
            </w:r>
          </w:p>
        </w:tc>
        <w:tc>
          <w:tcPr>
            <w:tcW w:w="1073" w:type="dxa"/>
            <w:tcBorders>
              <w:top w:val="nil"/>
              <w:left w:val="nil"/>
              <w:bottom w:val="nil"/>
              <w:right w:val="nil"/>
            </w:tcBorders>
          </w:tcPr>
          <w:p w14:paraId="47221F1C"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78.3%</w:t>
            </w:r>
          </w:p>
        </w:tc>
        <w:tc>
          <w:tcPr>
            <w:tcW w:w="1073" w:type="dxa"/>
            <w:tcBorders>
              <w:top w:val="nil"/>
              <w:left w:val="nil"/>
              <w:bottom w:val="nil"/>
              <w:right w:val="nil"/>
            </w:tcBorders>
          </w:tcPr>
          <w:p w14:paraId="03105EC0"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78.9%</w:t>
            </w:r>
          </w:p>
        </w:tc>
        <w:tc>
          <w:tcPr>
            <w:tcW w:w="1073" w:type="dxa"/>
            <w:tcBorders>
              <w:top w:val="nil"/>
              <w:left w:val="nil"/>
              <w:bottom w:val="nil"/>
              <w:right w:val="nil"/>
            </w:tcBorders>
          </w:tcPr>
          <w:p w14:paraId="260F9C9B"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78.8%</w:t>
            </w:r>
          </w:p>
        </w:tc>
        <w:tc>
          <w:tcPr>
            <w:tcW w:w="1073" w:type="dxa"/>
            <w:tcBorders>
              <w:top w:val="nil"/>
              <w:left w:val="nil"/>
              <w:bottom w:val="nil"/>
              <w:right w:val="nil"/>
            </w:tcBorders>
          </w:tcPr>
          <w:p w14:paraId="3FF7AA45"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81.2%</w:t>
            </w:r>
          </w:p>
        </w:tc>
        <w:tc>
          <w:tcPr>
            <w:tcW w:w="976" w:type="dxa"/>
            <w:tcBorders>
              <w:top w:val="nil"/>
              <w:left w:val="nil"/>
              <w:bottom w:val="nil"/>
              <w:right w:val="nil"/>
            </w:tcBorders>
          </w:tcPr>
          <w:p w14:paraId="1B4C003F"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81.9%</w:t>
            </w:r>
          </w:p>
        </w:tc>
      </w:tr>
      <w:tr w:rsidR="0024372F" w14:paraId="481CCC4C" w14:textId="77777777" w:rsidTr="0024372F">
        <w:trPr>
          <w:trHeight w:val="319"/>
        </w:trPr>
        <w:tc>
          <w:tcPr>
            <w:tcW w:w="4195" w:type="dxa"/>
            <w:tcBorders>
              <w:top w:val="nil"/>
              <w:left w:val="nil"/>
              <w:bottom w:val="nil"/>
              <w:right w:val="nil"/>
            </w:tcBorders>
          </w:tcPr>
          <w:p w14:paraId="46D92D91" w14:textId="77777777" w:rsidR="0024372F" w:rsidRDefault="0024372F">
            <w:pPr>
              <w:autoSpaceDE w:val="0"/>
              <w:autoSpaceDN w:val="0"/>
              <w:adjustRightInd w:val="0"/>
              <w:jc w:val="left"/>
              <w:rPr>
                <w:rFonts w:ascii="Calibri" w:hAnsi="Calibri" w:cs="Calibri"/>
                <w:color w:val="000000"/>
                <w:kern w:val="0"/>
                <w:sz w:val="20"/>
                <w:szCs w:val="20"/>
              </w:rPr>
            </w:pPr>
            <w:r>
              <w:rPr>
                <w:rFonts w:ascii="Calibri" w:hAnsi="Calibri" w:cs="Calibri"/>
                <w:color w:val="000000"/>
                <w:kern w:val="0"/>
                <w:sz w:val="20"/>
                <w:szCs w:val="20"/>
              </w:rPr>
              <w:t>財務レバレッジ</w:t>
            </w:r>
          </w:p>
        </w:tc>
        <w:tc>
          <w:tcPr>
            <w:tcW w:w="977" w:type="dxa"/>
            <w:tcBorders>
              <w:top w:val="nil"/>
              <w:left w:val="nil"/>
              <w:bottom w:val="nil"/>
              <w:right w:val="nil"/>
            </w:tcBorders>
          </w:tcPr>
          <w:p w14:paraId="14B5FE3A"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 xml:space="preserve">1.2 </w:t>
            </w:r>
          </w:p>
        </w:tc>
        <w:tc>
          <w:tcPr>
            <w:tcW w:w="977" w:type="dxa"/>
            <w:tcBorders>
              <w:top w:val="nil"/>
              <w:left w:val="nil"/>
              <w:bottom w:val="nil"/>
              <w:right w:val="nil"/>
            </w:tcBorders>
          </w:tcPr>
          <w:p w14:paraId="24E6B5CA"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 xml:space="preserve">1.2 </w:t>
            </w:r>
          </w:p>
        </w:tc>
        <w:tc>
          <w:tcPr>
            <w:tcW w:w="977" w:type="dxa"/>
            <w:tcBorders>
              <w:top w:val="nil"/>
              <w:left w:val="nil"/>
              <w:bottom w:val="nil"/>
              <w:right w:val="nil"/>
            </w:tcBorders>
          </w:tcPr>
          <w:p w14:paraId="41D8BB22"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 xml:space="preserve">1.2 </w:t>
            </w:r>
          </w:p>
        </w:tc>
        <w:tc>
          <w:tcPr>
            <w:tcW w:w="1072" w:type="dxa"/>
            <w:tcBorders>
              <w:top w:val="nil"/>
              <w:left w:val="nil"/>
              <w:bottom w:val="nil"/>
              <w:right w:val="nil"/>
            </w:tcBorders>
          </w:tcPr>
          <w:p w14:paraId="328FDC65"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 xml:space="preserve">1.3 </w:t>
            </w:r>
          </w:p>
        </w:tc>
        <w:tc>
          <w:tcPr>
            <w:tcW w:w="1073" w:type="dxa"/>
            <w:tcBorders>
              <w:top w:val="nil"/>
              <w:left w:val="nil"/>
              <w:bottom w:val="nil"/>
              <w:right w:val="nil"/>
            </w:tcBorders>
          </w:tcPr>
          <w:p w14:paraId="5406EEC0"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 xml:space="preserve">1.3 </w:t>
            </w:r>
          </w:p>
        </w:tc>
        <w:tc>
          <w:tcPr>
            <w:tcW w:w="1073" w:type="dxa"/>
            <w:tcBorders>
              <w:top w:val="nil"/>
              <w:left w:val="nil"/>
              <w:bottom w:val="nil"/>
              <w:right w:val="nil"/>
            </w:tcBorders>
          </w:tcPr>
          <w:p w14:paraId="29021059"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 xml:space="preserve">1.3 </w:t>
            </w:r>
          </w:p>
        </w:tc>
        <w:tc>
          <w:tcPr>
            <w:tcW w:w="1073" w:type="dxa"/>
            <w:tcBorders>
              <w:top w:val="nil"/>
              <w:left w:val="nil"/>
              <w:bottom w:val="nil"/>
              <w:right w:val="nil"/>
            </w:tcBorders>
          </w:tcPr>
          <w:p w14:paraId="4F39DC94"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 xml:space="preserve">1.3 </w:t>
            </w:r>
          </w:p>
        </w:tc>
        <w:tc>
          <w:tcPr>
            <w:tcW w:w="1073" w:type="dxa"/>
            <w:tcBorders>
              <w:top w:val="nil"/>
              <w:left w:val="nil"/>
              <w:bottom w:val="nil"/>
              <w:right w:val="nil"/>
            </w:tcBorders>
          </w:tcPr>
          <w:p w14:paraId="79D00715"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 xml:space="preserve">1.2 </w:t>
            </w:r>
          </w:p>
        </w:tc>
        <w:tc>
          <w:tcPr>
            <w:tcW w:w="976" w:type="dxa"/>
            <w:tcBorders>
              <w:top w:val="nil"/>
              <w:left w:val="nil"/>
              <w:bottom w:val="nil"/>
              <w:right w:val="nil"/>
            </w:tcBorders>
          </w:tcPr>
          <w:p w14:paraId="3CACB15B"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 xml:space="preserve">1.2 </w:t>
            </w:r>
          </w:p>
        </w:tc>
      </w:tr>
      <w:tr w:rsidR="0024372F" w14:paraId="6A40B51D" w14:textId="77777777" w:rsidTr="0024372F">
        <w:trPr>
          <w:trHeight w:val="319"/>
        </w:trPr>
        <w:tc>
          <w:tcPr>
            <w:tcW w:w="4195" w:type="dxa"/>
            <w:tcBorders>
              <w:top w:val="nil"/>
              <w:left w:val="nil"/>
              <w:bottom w:val="nil"/>
              <w:right w:val="nil"/>
            </w:tcBorders>
          </w:tcPr>
          <w:p w14:paraId="13D64A17" w14:textId="77777777" w:rsidR="0024372F" w:rsidRDefault="0024372F">
            <w:pPr>
              <w:autoSpaceDE w:val="0"/>
              <w:autoSpaceDN w:val="0"/>
              <w:adjustRightInd w:val="0"/>
              <w:jc w:val="left"/>
              <w:rPr>
                <w:rFonts w:ascii="Calibri" w:hAnsi="Calibri" w:cs="Calibri"/>
                <w:color w:val="000000"/>
                <w:kern w:val="0"/>
                <w:sz w:val="20"/>
                <w:szCs w:val="20"/>
              </w:rPr>
            </w:pPr>
            <w:r>
              <w:rPr>
                <w:rFonts w:ascii="Calibri" w:hAnsi="Calibri" w:cs="Calibri"/>
                <w:color w:val="000000"/>
                <w:kern w:val="0"/>
                <w:sz w:val="20"/>
                <w:szCs w:val="20"/>
              </w:rPr>
              <w:t>流動比率</w:t>
            </w:r>
          </w:p>
        </w:tc>
        <w:tc>
          <w:tcPr>
            <w:tcW w:w="977" w:type="dxa"/>
            <w:tcBorders>
              <w:top w:val="nil"/>
              <w:left w:val="nil"/>
              <w:bottom w:val="nil"/>
              <w:right w:val="nil"/>
            </w:tcBorders>
          </w:tcPr>
          <w:p w14:paraId="1EE51CF7"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333.1%</w:t>
            </w:r>
          </w:p>
        </w:tc>
        <w:tc>
          <w:tcPr>
            <w:tcW w:w="977" w:type="dxa"/>
            <w:tcBorders>
              <w:top w:val="nil"/>
              <w:left w:val="nil"/>
              <w:bottom w:val="nil"/>
              <w:right w:val="nil"/>
            </w:tcBorders>
          </w:tcPr>
          <w:p w14:paraId="5694E394"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330.4%</w:t>
            </w:r>
          </w:p>
        </w:tc>
        <w:tc>
          <w:tcPr>
            <w:tcW w:w="977" w:type="dxa"/>
            <w:tcBorders>
              <w:top w:val="nil"/>
              <w:left w:val="nil"/>
              <w:bottom w:val="nil"/>
              <w:right w:val="nil"/>
            </w:tcBorders>
          </w:tcPr>
          <w:p w14:paraId="28EB9948"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345.4%</w:t>
            </w:r>
          </w:p>
        </w:tc>
        <w:tc>
          <w:tcPr>
            <w:tcW w:w="1072" w:type="dxa"/>
            <w:tcBorders>
              <w:top w:val="nil"/>
              <w:left w:val="nil"/>
              <w:bottom w:val="nil"/>
              <w:right w:val="nil"/>
            </w:tcBorders>
          </w:tcPr>
          <w:p w14:paraId="716423F0"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285.7%</w:t>
            </w:r>
          </w:p>
        </w:tc>
        <w:tc>
          <w:tcPr>
            <w:tcW w:w="1073" w:type="dxa"/>
            <w:tcBorders>
              <w:top w:val="nil"/>
              <w:left w:val="nil"/>
              <w:bottom w:val="nil"/>
              <w:right w:val="nil"/>
            </w:tcBorders>
          </w:tcPr>
          <w:p w14:paraId="29C3A4A7"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313.0%</w:t>
            </w:r>
          </w:p>
        </w:tc>
        <w:tc>
          <w:tcPr>
            <w:tcW w:w="1073" w:type="dxa"/>
            <w:tcBorders>
              <w:top w:val="nil"/>
              <w:left w:val="nil"/>
              <w:bottom w:val="nil"/>
              <w:right w:val="nil"/>
            </w:tcBorders>
          </w:tcPr>
          <w:p w14:paraId="519054E3"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356.0%</w:t>
            </w:r>
          </w:p>
        </w:tc>
        <w:tc>
          <w:tcPr>
            <w:tcW w:w="1073" w:type="dxa"/>
            <w:tcBorders>
              <w:top w:val="nil"/>
              <w:left w:val="nil"/>
              <w:bottom w:val="nil"/>
              <w:right w:val="nil"/>
            </w:tcBorders>
          </w:tcPr>
          <w:p w14:paraId="2915677A"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303.0%</w:t>
            </w:r>
          </w:p>
        </w:tc>
        <w:tc>
          <w:tcPr>
            <w:tcW w:w="1073" w:type="dxa"/>
            <w:tcBorders>
              <w:top w:val="nil"/>
              <w:left w:val="nil"/>
              <w:bottom w:val="nil"/>
              <w:right w:val="nil"/>
            </w:tcBorders>
          </w:tcPr>
          <w:p w14:paraId="352F7316"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315.2%</w:t>
            </w:r>
          </w:p>
        </w:tc>
        <w:tc>
          <w:tcPr>
            <w:tcW w:w="976" w:type="dxa"/>
            <w:tcBorders>
              <w:top w:val="nil"/>
              <w:left w:val="nil"/>
              <w:bottom w:val="nil"/>
              <w:right w:val="nil"/>
            </w:tcBorders>
          </w:tcPr>
          <w:p w14:paraId="785EDC92"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286.7%</w:t>
            </w:r>
          </w:p>
        </w:tc>
      </w:tr>
      <w:tr w:rsidR="0024372F" w14:paraId="5EE1A807" w14:textId="77777777" w:rsidTr="0024372F">
        <w:trPr>
          <w:trHeight w:val="319"/>
        </w:trPr>
        <w:tc>
          <w:tcPr>
            <w:tcW w:w="4195" w:type="dxa"/>
            <w:tcBorders>
              <w:top w:val="nil"/>
              <w:left w:val="nil"/>
              <w:bottom w:val="nil"/>
              <w:right w:val="nil"/>
            </w:tcBorders>
          </w:tcPr>
          <w:p w14:paraId="4F70FEEA" w14:textId="77777777" w:rsidR="0024372F" w:rsidRDefault="0024372F">
            <w:pPr>
              <w:autoSpaceDE w:val="0"/>
              <w:autoSpaceDN w:val="0"/>
              <w:adjustRightInd w:val="0"/>
              <w:jc w:val="left"/>
              <w:rPr>
                <w:rFonts w:ascii="Calibri" w:hAnsi="Calibri" w:cs="Calibri"/>
                <w:color w:val="000000"/>
                <w:kern w:val="0"/>
                <w:sz w:val="20"/>
                <w:szCs w:val="20"/>
              </w:rPr>
            </w:pPr>
            <w:r>
              <w:rPr>
                <w:rFonts w:ascii="Calibri" w:hAnsi="Calibri" w:cs="Calibri"/>
                <w:color w:val="000000"/>
                <w:kern w:val="0"/>
                <w:sz w:val="20"/>
                <w:szCs w:val="20"/>
              </w:rPr>
              <w:t>固定比率</w:t>
            </w:r>
          </w:p>
        </w:tc>
        <w:tc>
          <w:tcPr>
            <w:tcW w:w="977" w:type="dxa"/>
            <w:tcBorders>
              <w:top w:val="nil"/>
              <w:left w:val="nil"/>
              <w:bottom w:val="nil"/>
              <w:right w:val="nil"/>
            </w:tcBorders>
          </w:tcPr>
          <w:p w14:paraId="3CF027A2"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76.0%</w:t>
            </w:r>
          </w:p>
        </w:tc>
        <w:tc>
          <w:tcPr>
            <w:tcW w:w="977" w:type="dxa"/>
            <w:tcBorders>
              <w:top w:val="nil"/>
              <w:left w:val="nil"/>
              <w:bottom w:val="nil"/>
              <w:right w:val="nil"/>
            </w:tcBorders>
          </w:tcPr>
          <w:p w14:paraId="642D3669"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74.7%</w:t>
            </w:r>
          </w:p>
        </w:tc>
        <w:tc>
          <w:tcPr>
            <w:tcW w:w="977" w:type="dxa"/>
            <w:tcBorders>
              <w:top w:val="nil"/>
              <w:left w:val="nil"/>
              <w:bottom w:val="nil"/>
              <w:right w:val="nil"/>
            </w:tcBorders>
          </w:tcPr>
          <w:p w14:paraId="358D3BB4"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73.3%</w:t>
            </w:r>
          </w:p>
        </w:tc>
        <w:tc>
          <w:tcPr>
            <w:tcW w:w="1072" w:type="dxa"/>
            <w:tcBorders>
              <w:top w:val="nil"/>
              <w:left w:val="nil"/>
              <w:bottom w:val="nil"/>
              <w:right w:val="nil"/>
            </w:tcBorders>
          </w:tcPr>
          <w:p w14:paraId="06382EE7"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75.9%</w:t>
            </w:r>
          </w:p>
        </w:tc>
        <w:tc>
          <w:tcPr>
            <w:tcW w:w="1073" w:type="dxa"/>
            <w:tcBorders>
              <w:top w:val="nil"/>
              <w:left w:val="nil"/>
              <w:bottom w:val="nil"/>
              <w:right w:val="nil"/>
            </w:tcBorders>
          </w:tcPr>
          <w:p w14:paraId="346C0479"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76.6%</w:t>
            </w:r>
          </w:p>
        </w:tc>
        <w:tc>
          <w:tcPr>
            <w:tcW w:w="1073" w:type="dxa"/>
            <w:tcBorders>
              <w:top w:val="nil"/>
              <w:left w:val="nil"/>
              <w:bottom w:val="nil"/>
              <w:right w:val="nil"/>
            </w:tcBorders>
          </w:tcPr>
          <w:p w14:paraId="2EF46469"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78.9%</w:t>
            </w:r>
          </w:p>
        </w:tc>
        <w:tc>
          <w:tcPr>
            <w:tcW w:w="1073" w:type="dxa"/>
            <w:tcBorders>
              <w:top w:val="nil"/>
              <w:left w:val="nil"/>
              <w:bottom w:val="nil"/>
              <w:right w:val="nil"/>
            </w:tcBorders>
          </w:tcPr>
          <w:p w14:paraId="70BCCA70"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78.4%</w:t>
            </w:r>
          </w:p>
        </w:tc>
        <w:tc>
          <w:tcPr>
            <w:tcW w:w="1073" w:type="dxa"/>
            <w:tcBorders>
              <w:top w:val="nil"/>
              <w:left w:val="nil"/>
              <w:bottom w:val="nil"/>
              <w:right w:val="nil"/>
            </w:tcBorders>
          </w:tcPr>
          <w:p w14:paraId="15AF10AB"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84.6%</w:t>
            </w:r>
          </w:p>
        </w:tc>
        <w:tc>
          <w:tcPr>
            <w:tcW w:w="976" w:type="dxa"/>
            <w:tcBorders>
              <w:top w:val="nil"/>
              <w:left w:val="nil"/>
              <w:bottom w:val="nil"/>
              <w:right w:val="nil"/>
            </w:tcBorders>
          </w:tcPr>
          <w:p w14:paraId="781F2BD6"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92.4%</w:t>
            </w:r>
          </w:p>
        </w:tc>
      </w:tr>
      <w:tr w:rsidR="0024372F" w14:paraId="681D4B84" w14:textId="77777777" w:rsidTr="0024372F">
        <w:trPr>
          <w:trHeight w:val="319"/>
        </w:trPr>
        <w:tc>
          <w:tcPr>
            <w:tcW w:w="4195" w:type="dxa"/>
            <w:tcBorders>
              <w:top w:val="nil"/>
              <w:left w:val="nil"/>
              <w:bottom w:val="nil"/>
              <w:right w:val="nil"/>
            </w:tcBorders>
          </w:tcPr>
          <w:p w14:paraId="11F7F4FB" w14:textId="77777777" w:rsidR="0024372F" w:rsidRDefault="0024372F">
            <w:pPr>
              <w:autoSpaceDE w:val="0"/>
              <w:autoSpaceDN w:val="0"/>
              <w:adjustRightInd w:val="0"/>
              <w:jc w:val="left"/>
              <w:rPr>
                <w:rFonts w:ascii="Calibri" w:hAnsi="Calibri" w:cs="Calibri"/>
                <w:color w:val="000000"/>
                <w:kern w:val="0"/>
                <w:sz w:val="20"/>
                <w:szCs w:val="20"/>
              </w:rPr>
            </w:pPr>
            <w:r>
              <w:rPr>
                <w:rFonts w:ascii="Calibri" w:hAnsi="Calibri" w:cs="Calibri"/>
                <w:color w:val="000000"/>
                <w:kern w:val="0"/>
                <w:sz w:val="20"/>
                <w:szCs w:val="20"/>
              </w:rPr>
              <w:t>固定長期適合率</w:t>
            </w:r>
          </w:p>
        </w:tc>
        <w:tc>
          <w:tcPr>
            <w:tcW w:w="977" w:type="dxa"/>
            <w:tcBorders>
              <w:top w:val="nil"/>
              <w:left w:val="nil"/>
              <w:bottom w:val="nil"/>
              <w:right w:val="nil"/>
            </w:tcBorders>
          </w:tcPr>
          <w:p w14:paraId="707DEBE4"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69.7%</w:t>
            </w:r>
          </w:p>
        </w:tc>
        <w:tc>
          <w:tcPr>
            <w:tcW w:w="977" w:type="dxa"/>
            <w:tcBorders>
              <w:top w:val="nil"/>
              <w:left w:val="nil"/>
              <w:bottom w:val="nil"/>
              <w:right w:val="nil"/>
            </w:tcBorders>
          </w:tcPr>
          <w:p w14:paraId="29CF7833"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68.7%</w:t>
            </w:r>
          </w:p>
        </w:tc>
        <w:tc>
          <w:tcPr>
            <w:tcW w:w="977" w:type="dxa"/>
            <w:tcBorders>
              <w:top w:val="nil"/>
              <w:left w:val="nil"/>
              <w:bottom w:val="nil"/>
              <w:right w:val="nil"/>
            </w:tcBorders>
          </w:tcPr>
          <w:p w14:paraId="1743056F"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67.6%</w:t>
            </w:r>
          </w:p>
        </w:tc>
        <w:tc>
          <w:tcPr>
            <w:tcW w:w="1072" w:type="dxa"/>
            <w:tcBorders>
              <w:top w:val="nil"/>
              <w:left w:val="nil"/>
              <w:bottom w:val="nil"/>
              <w:right w:val="nil"/>
            </w:tcBorders>
          </w:tcPr>
          <w:p w14:paraId="0134430D"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68.0%</w:t>
            </w:r>
          </w:p>
        </w:tc>
        <w:tc>
          <w:tcPr>
            <w:tcW w:w="1073" w:type="dxa"/>
            <w:tcBorders>
              <w:top w:val="nil"/>
              <w:left w:val="nil"/>
              <w:bottom w:val="nil"/>
              <w:right w:val="nil"/>
            </w:tcBorders>
          </w:tcPr>
          <w:p w14:paraId="4CFD0763"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68.8%</w:t>
            </w:r>
          </w:p>
        </w:tc>
        <w:tc>
          <w:tcPr>
            <w:tcW w:w="1073" w:type="dxa"/>
            <w:tcBorders>
              <w:top w:val="nil"/>
              <w:left w:val="nil"/>
              <w:bottom w:val="nil"/>
              <w:right w:val="nil"/>
            </w:tcBorders>
          </w:tcPr>
          <w:p w14:paraId="22114D9D"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73.0%</w:t>
            </w:r>
          </w:p>
        </w:tc>
        <w:tc>
          <w:tcPr>
            <w:tcW w:w="1073" w:type="dxa"/>
            <w:tcBorders>
              <w:top w:val="nil"/>
              <w:left w:val="nil"/>
              <w:bottom w:val="nil"/>
              <w:right w:val="nil"/>
            </w:tcBorders>
          </w:tcPr>
          <w:p w14:paraId="0CDB4D84"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70.7%</w:t>
            </w:r>
          </w:p>
        </w:tc>
        <w:tc>
          <w:tcPr>
            <w:tcW w:w="1073" w:type="dxa"/>
            <w:tcBorders>
              <w:top w:val="nil"/>
              <w:left w:val="nil"/>
              <w:bottom w:val="nil"/>
              <w:right w:val="nil"/>
            </w:tcBorders>
          </w:tcPr>
          <w:p w14:paraId="54396D62"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76.2%</w:t>
            </w:r>
          </w:p>
        </w:tc>
        <w:tc>
          <w:tcPr>
            <w:tcW w:w="976" w:type="dxa"/>
            <w:tcBorders>
              <w:top w:val="nil"/>
              <w:left w:val="nil"/>
              <w:bottom w:val="nil"/>
              <w:right w:val="nil"/>
            </w:tcBorders>
          </w:tcPr>
          <w:p w14:paraId="3A263DCA"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83.0%</w:t>
            </w:r>
          </w:p>
        </w:tc>
      </w:tr>
      <w:tr w:rsidR="0024372F" w14:paraId="4E5F1733" w14:textId="77777777" w:rsidTr="0024372F">
        <w:trPr>
          <w:trHeight w:val="319"/>
        </w:trPr>
        <w:tc>
          <w:tcPr>
            <w:tcW w:w="4195" w:type="dxa"/>
            <w:tcBorders>
              <w:top w:val="nil"/>
              <w:left w:val="nil"/>
              <w:bottom w:val="single" w:sz="6" w:space="0" w:color="auto"/>
              <w:right w:val="nil"/>
            </w:tcBorders>
          </w:tcPr>
          <w:p w14:paraId="46E6FEB0" w14:textId="77777777" w:rsidR="0024372F" w:rsidRDefault="0024372F">
            <w:pPr>
              <w:autoSpaceDE w:val="0"/>
              <w:autoSpaceDN w:val="0"/>
              <w:adjustRightInd w:val="0"/>
              <w:jc w:val="left"/>
              <w:rPr>
                <w:rFonts w:ascii="Calibri" w:hAnsi="Calibri" w:cs="Calibri"/>
                <w:color w:val="000000"/>
                <w:kern w:val="0"/>
                <w:sz w:val="20"/>
                <w:szCs w:val="20"/>
              </w:rPr>
            </w:pPr>
            <w:r>
              <w:rPr>
                <w:rFonts w:ascii="Calibri" w:hAnsi="Calibri" w:cs="Calibri"/>
                <w:color w:val="000000"/>
                <w:kern w:val="0"/>
                <w:sz w:val="20"/>
                <w:szCs w:val="20"/>
              </w:rPr>
              <w:t>ネット</w:t>
            </w:r>
            <w:r>
              <w:rPr>
                <w:rFonts w:ascii="Calibri" w:hAnsi="Calibri" w:cs="Calibri"/>
                <w:color w:val="000000"/>
                <w:kern w:val="0"/>
                <w:sz w:val="20"/>
                <w:szCs w:val="20"/>
              </w:rPr>
              <w:t>D/E</w:t>
            </w:r>
            <w:r>
              <w:rPr>
                <w:rFonts w:ascii="Calibri" w:hAnsi="Calibri" w:cs="Calibri"/>
                <w:color w:val="000000"/>
                <w:kern w:val="0"/>
                <w:sz w:val="20"/>
                <w:szCs w:val="20"/>
              </w:rPr>
              <w:t>レシオ</w:t>
            </w:r>
          </w:p>
        </w:tc>
        <w:tc>
          <w:tcPr>
            <w:tcW w:w="977" w:type="dxa"/>
            <w:tcBorders>
              <w:top w:val="nil"/>
              <w:left w:val="nil"/>
              <w:bottom w:val="single" w:sz="6" w:space="0" w:color="auto"/>
              <w:right w:val="nil"/>
            </w:tcBorders>
          </w:tcPr>
          <w:p w14:paraId="26C589D2"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-30.6%</w:t>
            </w:r>
          </w:p>
        </w:tc>
        <w:tc>
          <w:tcPr>
            <w:tcW w:w="977" w:type="dxa"/>
            <w:tcBorders>
              <w:top w:val="nil"/>
              <w:left w:val="nil"/>
              <w:bottom w:val="single" w:sz="6" w:space="0" w:color="auto"/>
              <w:right w:val="nil"/>
            </w:tcBorders>
          </w:tcPr>
          <w:p w14:paraId="0344F5A4"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-32.6%</w:t>
            </w:r>
          </w:p>
        </w:tc>
        <w:tc>
          <w:tcPr>
            <w:tcW w:w="977" w:type="dxa"/>
            <w:tcBorders>
              <w:top w:val="nil"/>
              <w:left w:val="nil"/>
              <w:bottom w:val="single" w:sz="6" w:space="0" w:color="auto"/>
              <w:right w:val="nil"/>
            </w:tcBorders>
          </w:tcPr>
          <w:p w14:paraId="07903879"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-33.5%</w:t>
            </w:r>
          </w:p>
        </w:tc>
        <w:tc>
          <w:tcPr>
            <w:tcW w:w="1072" w:type="dxa"/>
            <w:tcBorders>
              <w:top w:val="nil"/>
              <w:left w:val="nil"/>
              <w:bottom w:val="single" w:sz="6" w:space="0" w:color="auto"/>
              <w:right w:val="nil"/>
            </w:tcBorders>
          </w:tcPr>
          <w:p w14:paraId="42D32DA9"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-33.5%</w:t>
            </w:r>
          </w:p>
        </w:tc>
        <w:tc>
          <w:tcPr>
            <w:tcW w:w="1073" w:type="dxa"/>
            <w:tcBorders>
              <w:top w:val="nil"/>
              <w:left w:val="nil"/>
              <w:bottom w:val="single" w:sz="6" w:space="0" w:color="auto"/>
              <w:right w:val="nil"/>
            </w:tcBorders>
          </w:tcPr>
          <w:p w14:paraId="3A8B839A"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-29.7%</w:t>
            </w:r>
          </w:p>
        </w:tc>
        <w:tc>
          <w:tcPr>
            <w:tcW w:w="1073" w:type="dxa"/>
            <w:tcBorders>
              <w:top w:val="nil"/>
              <w:left w:val="nil"/>
              <w:bottom w:val="single" w:sz="6" w:space="0" w:color="auto"/>
              <w:right w:val="nil"/>
            </w:tcBorders>
          </w:tcPr>
          <w:p w14:paraId="154485FC"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-26.4%</w:t>
            </w:r>
          </w:p>
        </w:tc>
        <w:tc>
          <w:tcPr>
            <w:tcW w:w="1073" w:type="dxa"/>
            <w:tcBorders>
              <w:top w:val="nil"/>
              <w:left w:val="nil"/>
              <w:bottom w:val="single" w:sz="6" w:space="0" w:color="auto"/>
              <w:right w:val="nil"/>
            </w:tcBorders>
          </w:tcPr>
          <w:p w14:paraId="00D4E2A0"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-25.8%</w:t>
            </w:r>
          </w:p>
        </w:tc>
        <w:tc>
          <w:tcPr>
            <w:tcW w:w="1073" w:type="dxa"/>
            <w:tcBorders>
              <w:top w:val="nil"/>
              <w:left w:val="nil"/>
              <w:bottom w:val="single" w:sz="6" w:space="0" w:color="auto"/>
              <w:right w:val="nil"/>
            </w:tcBorders>
          </w:tcPr>
          <w:p w14:paraId="0206D1F2"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-21.2%</w:t>
            </w:r>
          </w:p>
        </w:tc>
        <w:tc>
          <w:tcPr>
            <w:tcW w:w="976" w:type="dxa"/>
            <w:tcBorders>
              <w:top w:val="nil"/>
              <w:left w:val="nil"/>
              <w:bottom w:val="single" w:sz="6" w:space="0" w:color="auto"/>
              <w:right w:val="nil"/>
            </w:tcBorders>
          </w:tcPr>
          <w:p w14:paraId="5AB0DEC5" w14:textId="77777777" w:rsidR="0024372F" w:rsidRPr="00C74F0E" w:rsidRDefault="0024372F">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-11.6%</w:t>
            </w:r>
          </w:p>
        </w:tc>
      </w:tr>
    </w:tbl>
    <w:p w14:paraId="18D2577A" w14:textId="2812B266" w:rsidR="0024372F" w:rsidRPr="001B11F1" w:rsidRDefault="001B11F1" w:rsidP="001B11F1">
      <w:r>
        <w:rPr>
          <w:rFonts w:hint="eastAsia"/>
        </w:rPr>
        <w:t>出典：オリエンタルランド</w:t>
      </w:r>
      <w:r w:rsidR="00AF3BD8">
        <w:rPr>
          <w:rFonts w:hint="eastAsia"/>
        </w:rPr>
        <w:t>社</w:t>
      </w:r>
      <w:r>
        <w:rPr>
          <w:rFonts w:hint="eastAsia"/>
        </w:rPr>
        <w:t>「四半期報告書」より筆者作成。</w:t>
      </w:r>
    </w:p>
    <w:p w14:paraId="1F54D9A0" w14:textId="77777777" w:rsidR="00BA6333" w:rsidRDefault="00BA6333" w:rsidP="00686F3F">
      <w:pPr>
        <w:sectPr w:rsidR="00BA6333" w:rsidSect="0079537D">
          <w:pgSz w:w="16838" w:h="11906" w:orient="landscape"/>
          <w:pgMar w:top="1361" w:right="1077" w:bottom="1361" w:left="1077" w:header="851" w:footer="992" w:gutter="0"/>
          <w:cols w:space="425"/>
          <w:docGrid w:type="lines" w:linePitch="360"/>
        </w:sectPr>
      </w:pPr>
    </w:p>
    <w:p w14:paraId="18773C89" w14:textId="303A4A79" w:rsidR="00F64CF9" w:rsidRDefault="002573EA" w:rsidP="00F64CF9">
      <w:pPr>
        <w:widowControl/>
        <w:jc w:val="left"/>
      </w:pPr>
      <w:r>
        <w:rPr>
          <w:rFonts w:hint="eastAsia"/>
          <w:b/>
          <w:bCs/>
        </w:rPr>
        <w:lastRenderedPageBreak/>
        <w:t>2</w:t>
      </w:r>
      <w:r w:rsidR="00F64CF9" w:rsidRPr="0012638A">
        <w:rPr>
          <w:rFonts w:hint="eastAsia"/>
          <w:b/>
          <w:bCs/>
        </w:rPr>
        <w:t>−</w:t>
      </w:r>
      <w:r w:rsidR="00F64CF9">
        <w:rPr>
          <w:rFonts w:hint="eastAsia"/>
          <w:b/>
          <w:bCs/>
        </w:rPr>
        <w:t>４−3．</w:t>
      </w:r>
      <w:r w:rsidR="0058072C">
        <w:rPr>
          <w:rFonts w:hint="eastAsia"/>
          <w:b/>
          <w:bCs/>
        </w:rPr>
        <w:t>小括</w:t>
      </w:r>
    </w:p>
    <w:p w14:paraId="4E1D2DDF" w14:textId="1FAD4311" w:rsidR="008D4E21" w:rsidRDefault="0058072C" w:rsidP="00686F3F">
      <w:r>
        <w:rPr>
          <w:rFonts w:hint="eastAsia"/>
        </w:rPr>
        <w:t xml:space="preserve">　ここまでオリエンタルランド社の財務諸表分析を行い、新型コロナウイルス下でも、財務上の安</w:t>
      </w:r>
      <w:r w:rsidR="00FD1186">
        <w:rPr>
          <w:rFonts w:hint="eastAsia"/>
        </w:rPr>
        <w:t>全</w:t>
      </w:r>
      <w:r>
        <w:rPr>
          <w:rFonts w:hint="eastAsia"/>
        </w:rPr>
        <w:t>性が確保されていることが明らかとなった。特に、</w:t>
      </w:r>
      <w:r w:rsidR="000214C0">
        <w:rPr>
          <w:rFonts w:hint="eastAsia"/>
        </w:rPr>
        <w:t>OLC</w:t>
      </w:r>
      <w:r>
        <w:rPr>
          <w:rFonts w:hint="eastAsia"/>
        </w:rPr>
        <w:t>の財務上の強さは、東京ディズニーリゾート</w:t>
      </w:r>
      <w:r w:rsidR="00CA6720">
        <w:rPr>
          <w:rFonts w:hint="eastAsia"/>
        </w:rPr>
        <w:t>という一大リゾートを</w:t>
      </w:r>
      <w:r>
        <w:rPr>
          <w:rFonts w:hint="eastAsia"/>
        </w:rPr>
        <w:t>運営してきたことによる巨額のキャッシュインフローの積立と自己資本比率の高さ</w:t>
      </w:r>
      <w:r w:rsidR="00CA6720">
        <w:rPr>
          <w:rFonts w:hint="eastAsia"/>
        </w:rPr>
        <w:t>が要因として挙げられる</w:t>
      </w:r>
      <w:r>
        <w:rPr>
          <w:rFonts w:hint="eastAsia"/>
        </w:rPr>
        <w:t>。また、営業によって得られた資金は</w:t>
      </w:r>
      <w:r w:rsidR="00AE2381">
        <w:rPr>
          <w:rFonts w:hint="eastAsia"/>
        </w:rPr>
        <w:t>、</w:t>
      </w:r>
      <w:r w:rsidR="009E4A07">
        <w:rPr>
          <w:rFonts w:hint="eastAsia"/>
        </w:rPr>
        <w:t>積極的にリゾート施設</w:t>
      </w:r>
      <w:r w:rsidR="00FD1186">
        <w:rPr>
          <w:rFonts w:hint="eastAsia"/>
        </w:rPr>
        <w:t>へ</w:t>
      </w:r>
      <w:r w:rsidR="009E4A07">
        <w:rPr>
          <w:rFonts w:hint="eastAsia"/>
        </w:rPr>
        <w:t>の設備投資に活用され、減価償却による自己金融効果もまた財政状態を安定化させる要因であ</w:t>
      </w:r>
      <w:r w:rsidR="00FD1186">
        <w:rPr>
          <w:rFonts w:hint="eastAsia"/>
        </w:rPr>
        <w:t>るといえる</w:t>
      </w:r>
      <w:r w:rsidR="009E4A07">
        <w:rPr>
          <w:rFonts w:hint="eastAsia"/>
        </w:rPr>
        <w:t>。</w:t>
      </w:r>
    </w:p>
    <w:p w14:paraId="5C9D7360" w14:textId="35ADDAC9" w:rsidR="008D3845" w:rsidRDefault="000214C0" w:rsidP="008D3845">
      <w:pPr>
        <w:ind w:firstLineChars="100" w:firstLine="210"/>
      </w:pPr>
      <w:r>
        <w:rPr>
          <w:rFonts w:hint="eastAsia"/>
        </w:rPr>
        <w:t>OLC</w:t>
      </w:r>
      <w:r w:rsidR="006F566E">
        <w:rPr>
          <w:rFonts w:hint="eastAsia"/>
        </w:rPr>
        <w:t>の財務</w:t>
      </w:r>
      <w:r w:rsidR="00FD1186">
        <w:rPr>
          <w:rFonts w:hint="eastAsia"/>
        </w:rPr>
        <w:t>上の安全性は</w:t>
      </w:r>
      <w:r w:rsidR="006F566E">
        <w:rPr>
          <w:rFonts w:hint="eastAsia"/>
        </w:rPr>
        <w:t>巨額のキャッシュフロー</w:t>
      </w:r>
      <w:r w:rsidR="00FD1186">
        <w:rPr>
          <w:rFonts w:hint="eastAsia"/>
        </w:rPr>
        <w:t>によって担保されており、</w:t>
      </w:r>
      <w:r w:rsidR="006F566E">
        <w:rPr>
          <w:rFonts w:hint="eastAsia"/>
        </w:rPr>
        <w:t>日本各地のテーマパークや遊園地を運営する企業は</w:t>
      </w:r>
      <w:r w:rsidR="00911633">
        <w:rPr>
          <w:rFonts w:hint="eastAsia"/>
        </w:rPr>
        <w:t>、</w:t>
      </w:r>
      <w:r>
        <w:rPr>
          <w:rFonts w:hint="eastAsia"/>
        </w:rPr>
        <w:t>OLC</w:t>
      </w:r>
      <w:r w:rsidR="00911633">
        <w:rPr>
          <w:rFonts w:hint="eastAsia"/>
        </w:rPr>
        <w:t>のように堅固な財政基盤や潤沢なキャッシュフローを持</w:t>
      </w:r>
      <w:r w:rsidR="0024372F">
        <w:rPr>
          <w:rFonts w:hint="eastAsia"/>
        </w:rPr>
        <w:t>つことは稀である</w:t>
      </w:r>
      <w:r w:rsidR="00911633">
        <w:rPr>
          <w:rFonts w:hint="eastAsia"/>
        </w:rPr>
        <w:t>。</w:t>
      </w:r>
      <w:r w:rsidR="00A72D6C">
        <w:rPr>
          <w:rFonts w:hint="eastAsia"/>
        </w:rPr>
        <w:t>事実、東京ディズニーリゾートは、その他のテーマパークや遊園地と比較して、入場者数が約1</w:t>
      </w:r>
      <w:r w:rsidR="00A72D6C">
        <w:t>5</w:t>
      </w:r>
      <w:r w:rsidR="00A72D6C">
        <w:rPr>
          <w:rFonts w:hint="eastAsia"/>
        </w:rPr>
        <w:t>倍から30倍ほど差がある</w:t>
      </w:r>
      <w:r w:rsidR="00A72D6C">
        <w:rPr>
          <w:rStyle w:val="af0"/>
        </w:rPr>
        <w:footnoteReference w:id="3"/>
      </w:r>
      <w:r w:rsidR="00A72D6C">
        <w:rPr>
          <w:rFonts w:hint="eastAsia"/>
        </w:rPr>
        <w:t>。</w:t>
      </w:r>
      <w:r w:rsidR="00FD1186">
        <w:rPr>
          <w:rFonts w:hint="eastAsia"/>
        </w:rPr>
        <w:t>次章では、他のテーマパークや遊園地を運営する企業を取り上げ、</w:t>
      </w:r>
      <w:r w:rsidR="00911633">
        <w:rPr>
          <w:rFonts w:hint="eastAsia"/>
        </w:rPr>
        <w:t>財務諸表</w:t>
      </w:r>
      <w:r w:rsidR="00FD1186">
        <w:rPr>
          <w:rFonts w:hint="eastAsia"/>
        </w:rPr>
        <w:t>分析を行</w:t>
      </w:r>
      <w:r>
        <w:rPr>
          <w:rFonts w:hint="eastAsia"/>
        </w:rPr>
        <w:t>う</w:t>
      </w:r>
      <w:r w:rsidR="00FD1186">
        <w:rPr>
          <w:rFonts w:hint="eastAsia"/>
        </w:rPr>
        <w:t>。</w:t>
      </w:r>
    </w:p>
    <w:p w14:paraId="7819AD85" w14:textId="0C22AE45" w:rsidR="008D3845" w:rsidRDefault="008D3845" w:rsidP="008D3845"/>
    <w:p w14:paraId="298456B9" w14:textId="2AC43067" w:rsidR="008D3845" w:rsidRPr="00434C8E" w:rsidRDefault="002573EA" w:rsidP="008D3845">
      <w:pPr>
        <w:rPr>
          <w:b/>
          <w:bCs/>
        </w:rPr>
      </w:pPr>
      <w:r>
        <w:rPr>
          <w:b/>
          <w:bCs/>
        </w:rPr>
        <w:t>3</w:t>
      </w:r>
      <w:r w:rsidR="008D3845" w:rsidRPr="00434C8E">
        <w:rPr>
          <w:rFonts w:hint="eastAsia"/>
          <w:b/>
          <w:bCs/>
        </w:rPr>
        <w:t>．</w:t>
      </w:r>
      <w:r w:rsidR="00434C8E" w:rsidRPr="00434C8E">
        <w:rPr>
          <w:rFonts w:hint="eastAsia"/>
          <w:b/>
          <w:bCs/>
        </w:rPr>
        <w:t>その他のテーマパーク・遊園地の財務諸表分析</w:t>
      </w:r>
    </w:p>
    <w:p w14:paraId="7CE89955" w14:textId="79A881A8" w:rsidR="000F22C5" w:rsidRDefault="00434C8E" w:rsidP="008D3845">
      <w:r>
        <w:rPr>
          <w:rFonts w:hint="eastAsia"/>
        </w:rPr>
        <w:t xml:space="preserve">　</w:t>
      </w:r>
      <w:r w:rsidR="000214C0">
        <w:rPr>
          <w:rFonts w:hint="eastAsia"/>
        </w:rPr>
        <w:t>本</w:t>
      </w:r>
      <w:r w:rsidR="00793D6D">
        <w:rPr>
          <w:rFonts w:hint="eastAsia"/>
        </w:rPr>
        <w:t>章では、財務諸表が入手可能なテーマパークや遊園地として、ハウステンボスを運営するエイチ・アイ・エス</w:t>
      </w:r>
      <w:r w:rsidR="005A2F4C">
        <w:rPr>
          <w:rFonts w:hint="eastAsia"/>
        </w:rPr>
        <w:t>（以下、HIS）</w:t>
      </w:r>
      <w:r w:rsidR="000214C0">
        <w:rPr>
          <w:rFonts w:hint="eastAsia"/>
        </w:rPr>
        <w:t>、</w:t>
      </w:r>
      <w:r w:rsidR="00793D6D">
        <w:rPr>
          <w:rFonts w:hint="eastAsia"/>
        </w:rPr>
        <w:t>よみうりランドの</w:t>
      </w:r>
      <w:r w:rsidR="00C51AE1">
        <w:t>2</w:t>
      </w:r>
      <w:r w:rsidR="00793D6D">
        <w:rPr>
          <w:rFonts w:hint="eastAsia"/>
        </w:rPr>
        <w:t>社</w:t>
      </w:r>
      <w:r w:rsidR="00A72D6C">
        <w:rPr>
          <w:rFonts w:hint="eastAsia"/>
        </w:rPr>
        <w:t>を取り上げ、</w:t>
      </w:r>
      <w:r w:rsidR="009C6029">
        <w:rPr>
          <w:rFonts w:hint="eastAsia"/>
        </w:rPr>
        <w:t>同業他社の</w:t>
      </w:r>
      <w:r w:rsidR="00793D6D">
        <w:rPr>
          <w:rFonts w:hint="eastAsia"/>
        </w:rPr>
        <w:t>財務諸表分析を行う</w:t>
      </w:r>
      <w:r w:rsidR="00793D6D">
        <w:rPr>
          <w:rStyle w:val="af0"/>
        </w:rPr>
        <w:footnoteReference w:id="4"/>
      </w:r>
      <w:r w:rsidR="00793D6D">
        <w:rPr>
          <w:rFonts w:hint="eastAsia"/>
        </w:rPr>
        <w:t>。</w:t>
      </w:r>
    </w:p>
    <w:p w14:paraId="1333126B" w14:textId="5231DF4E" w:rsidR="00793D6D" w:rsidRDefault="00793D6D" w:rsidP="008D3845"/>
    <w:p w14:paraId="5E5091D2" w14:textId="362380C4" w:rsidR="00793D6D" w:rsidRDefault="002573EA" w:rsidP="008D3845">
      <w:pPr>
        <w:rPr>
          <w:b/>
          <w:bCs/>
        </w:rPr>
      </w:pPr>
      <w:r>
        <w:rPr>
          <w:b/>
          <w:bCs/>
        </w:rPr>
        <w:t>3</w:t>
      </w:r>
      <w:r w:rsidR="00F17253" w:rsidRPr="009E0ABF">
        <w:rPr>
          <w:rFonts w:hint="eastAsia"/>
          <w:b/>
          <w:bCs/>
        </w:rPr>
        <w:t>－１．</w:t>
      </w:r>
      <w:r w:rsidR="00A72D6C" w:rsidRPr="009E0ABF">
        <w:rPr>
          <w:rFonts w:hint="eastAsia"/>
          <w:b/>
          <w:bCs/>
        </w:rPr>
        <w:t>エイチ・アイ・エス</w:t>
      </w:r>
      <w:r w:rsidR="00F17253" w:rsidRPr="009E0ABF">
        <w:rPr>
          <w:rFonts w:hint="eastAsia"/>
          <w:b/>
          <w:bCs/>
        </w:rPr>
        <w:t>社の</w:t>
      </w:r>
      <w:r w:rsidR="009E0ABF">
        <w:rPr>
          <w:rFonts w:hint="eastAsia"/>
          <w:b/>
          <w:bCs/>
        </w:rPr>
        <w:t>財務諸表分析</w:t>
      </w:r>
    </w:p>
    <w:p w14:paraId="14DF33ED" w14:textId="5FD74519" w:rsidR="00D16A14" w:rsidRPr="00D16A14" w:rsidRDefault="00D16A14" w:rsidP="008D3845">
      <w:r>
        <w:rPr>
          <w:rFonts w:hint="eastAsia"/>
          <w:b/>
          <w:bCs/>
        </w:rPr>
        <w:t xml:space="preserve">　</w:t>
      </w:r>
      <w:r>
        <w:rPr>
          <w:rFonts w:hint="eastAsia"/>
        </w:rPr>
        <w:t>ハウステンボスの年間来場者数は約277万人であり、テーマパーク部門において、東京ディズニーランド（東京ディズニーシーを含む）に次いで、第2位の来場者数を記録している。以下では、O</w:t>
      </w:r>
      <w:r>
        <w:t>LC</w:t>
      </w:r>
      <w:r>
        <w:rPr>
          <w:rFonts w:hint="eastAsia"/>
        </w:rPr>
        <w:t>と同じテーマパークを運営するH</w:t>
      </w:r>
      <w:r>
        <w:t>IS</w:t>
      </w:r>
      <w:r>
        <w:rPr>
          <w:rFonts w:hint="eastAsia"/>
        </w:rPr>
        <w:t>社の財務諸表分析を行</w:t>
      </w:r>
      <w:r w:rsidR="000214C0">
        <w:rPr>
          <w:rFonts w:hint="eastAsia"/>
        </w:rPr>
        <w:t>い、財務の安全性について考察する。</w:t>
      </w:r>
    </w:p>
    <w:p w14:paraId="5C27258A" w14:textId="77777777" w:rsidR="00D16A14" w:rsidRDefault="00D16A14" w:rsidP="008D3845">
      <w:pPr>
        <w:rPr>
          <w:b/>
          <w:bCs/>
        </w:rPr>
      </w:pPr>
    </w:p>
    <w:p w14:paraId="69828D23" w14:textId="0B0FBC6B" w:rsidR="009E0ABF" w:rsidRPr="009E0ABF" w:rsidRDefault="002573EA" w:rsidP="008D3845">
      <w:pPr>
        <w:rPr>
          <w:b/>
          <w:bCs/>
        </w:rPr>
      </w:pPr>
      <w:r>
        <w:rPr>
          <w:b/>
          <w:bCs/>
        </w:rPr>
        <w:t>3</w:t>
      </w:r>
      <w:r w:rsidR="009E0ABF" w:rsidRPr="009E0ABF">
        <w:rPr>
          <w:rFonts w:hint="eastAsia"/>
          <w:b/>
          <w:bCs/>
        </w:rPr>
        <w:t>－１－１．エイチ・アイ・エス社の</w:t>
      </w:r>
      <w:r w:rsidR="009E0ABF">
        <w:rPr>
          <w:rFonts w:hint="eastAsia"/>
          <w:b/>
          <w:bCs/>
        </w:rPr>
        <w:t>事業内容</w:t>
      </w:r>
    </w:p>
    <w:p w14:paraId="3659E45E" w14:textId="2F504994" w:rsidR="000D5C60" w:rsidRDefault="000D5C60" w:rsidP="008D3845">
      <w:r>
        <w:rPr>
          <w:rFonts w:hint="eastAsia"/>
        </w:rPr>
        <w:t xml:space="preserve">　</w:t>
      </w:r>
      <w:r w:rsidR="005A2F4C">
        <w:rPr>
          <w:rFonts w:hint="eastAsia"/>
        </w:rPr>
        <w:t>H</w:t>
      </w:r>
      <w:r w:rsidR="005A2F4C">
        <w:t>IS</w:t>
      </w:r>
      <w:r w:rsidR="005A2F4C">
        <w:rPr>
          <w:rFonts w:hint="eastAsia"/>
        </w:rPr>
        <w:t>社</w:t>
      </w:r>
      <w:r w:rsidR="00D16A14">
        <w:rPr>
          <w:rFonts w:hint="eastAsia"/>
        </w:rPr>
        <w:t>は、旅行事業を中心に</w:t>
      </w:r>
      <w:r w:rsidR="005A2F4C">
        <w:rPr>
          <w:rFonts w:hint="eastAsia"/>
        </w:rPr>
        <w:t>テーマパークやホテルを付随して運営して</w:t>
      </w:r>
      <w:r w:rsidR="00D16A14">
        <w:rPr>
          <w:rFonts w:hint="eastAsia"/>
        </w:rPr>
        <w:t>おり、</w:t>
      </w:r>
      <w:r w:rsidR="005A2F4C">
        <w:rPr>
          <w:rFonts w:hint="eastAsia"/>
        </w:rPr>
        <w:t>事業内容は次の通りである。</w:t>
      </w:r>
    </w:p>
    <w:p w14:paraId="5B4D9523" w14:textId="01969ADB" w:rsidR="005A2F4C" w:rsidRDefault="005A2F4C" w:rsidP="005A2F4C">
      <w:pPr>
        <w:ind w:firstLineChars="100" w:firstLine="210"/>
      </w:pPr>
      <w:r>
        <w:t xml:space="preserve"> (</w:t>
      </w:r>
      <w:r>
        <w:rPr>
          <w:rFonts w:hint="eastAsia"/>
        </w:rPr>
        <w:t>a</w:t>
      </w:r>
      <w:r>
        <w:t>)</w:t>
      </w:r>
      <w:r>
        <w:rPr>
          <w:rFonts w:hint="eastAsia"/>
        </w:rPr>
        <w:t>．旅行事業</w:t>
      </w:r>
    </w:p>
    <w:p w14:paraId="4A5F51D5" w14:textId="27ED46A5" w:rsidR="005A2F4C" w:rsidRDefault="005A2F4C" w:rsidP="005A2F4C">
      <w:pPr>
        <w:ind w:firstLineChars="150" w:firstLine="315"/>
      </w:pPr>
      <w:r>
        <w:t>(</w:t>
      </w:r>
      <w:r>
        <w:rPr>
          <w:rFonts w:hint="eastAsia"/>
        </w:rPr>
        <w:t>b</w:t>
      </w:r>
      <w:r>
        <w:t>)</w:t>
      </w:r>
      <w:r>
        <w:rPr>
          <w:rFonts w:hint="eastAsia"/>
        </w:rPr>
        <w:t>．ハウステンボスグループ</w:t>
      </w:r>
    </w:p>
    <w:p w14:paraId="45D3245B" w14:textId="6BCEBB7A" w:rsidR="005A2F4C" w:rsidRDefault="005A2F4C" w:rsidP="005A2F4C">
      <w:pPr>
        <w:ind w:firstLineChars="150" w:firstLine="315"/>
      </w:pPr>
      <w:r>
        <w:t>(</w:t>
      </w:r>
      <w:r>
        <w:rPr>
          <w:rFonts w:hint="eastAsia"/>
        </w:rPr>
        <w:t>c</w:t>
      </w:r>
      <w:r>
        <w:t>)</w:t>
      </w:r>
      <w:r>
        <w:rPr>
          <w:rFonts w:hint="eastAsia"/>
        </w:rPr>
        <w:t>．</w:t>
      </w:r>
      <w:r w:rsidR="009E0ABF">
        <w:rPr>
          <w:rFonts w:hint="eastAsia"/>
        </w:rPr>
        <w:t>ホテル事業</w:t>
      </w:r>
    </w:p>
    <w:p w14:paraId="5704530D" w14:textId="3E1BD0EF" w:rsidR="009E0ABF" w:rsidRDefault="009E0ABF" w:rsidP="009E0ABF">
      <w:pPr>
        <w:ind w:firstLineChars="150" w:firstLine="315"/>
      </w:pPr>
      <w:r>
        <w:lastRenderedPageBreak/>
        <w:t>(d)</w:t>
      </w:r>
      <w:r>
        <w:rPr>
          <w:rFonts w:hint="eastAsia"/>
        </w:rPr>
        <w:t>．九州産交グループ</w:t>
      </w:r>
    </w:p>
    <w:p w14:paraId="74FB2EAE" w14:textId="76AD5F4B" w:rsidR="009E0ABF" w:rsidRDefault="009E0ABF" w:rsidP="009E0ABF">
      <w:pPr>
        <w:ind w:firstLineChars="150" w:firstLine="315"/>
      </w:pPr>
      <w:r>
        <w:t>(</w:t>
      </w:r>
      <w:r>
        <w:rPr>
          <w:rFonts w:hint="eastAsia"/>
        </w:rPr>
        <w:t>c</w:t>
      </w:r>
      <w:r>
        <w:t>)</w:t>
      </w:r>
      <w:r>
        <w:rPr>
          <w:rFonts w:hint="eastAsia"/>
        </w:rPr>
        <w:t>．エネルギー事業</w:t>
      </w:r>
    </w:p>
    <w:p w14:paraId="4668DB54" w14:textId="5C29366B" w:rsidR="0005355D" w:rsidRDefault="009E0ABF" w:rsidP="008D3845">
      <w:r>
        <w:rPr>
          <w:rFonts w:hint="eastAsia"/>
        </w:rPr>
        <w:t xml:space="preserve">　H</w:t>
      </w:r>
      <w:r>
        <w:t>IS</w:t>
      </w:r>
      <w:r>
        <w:rPr>
          <w:rFonts w:hint="eastAsia"/>
        </w:rPr>
        <w:t>の主力事業は旅行事業であり、全体の売上高の9割を占めている</w:t>
      </w:r>
      <w:r>
        <w:rPr>
          <w:rStyle w:val="af0"/>
        </w:rPr>
        <w:footnoteReference w:id="5"/>
      </w:r>
      <w:r>
        <w:rPr>
          <w:rFonts w:hint="eastAsia"/>
        </w:rPr>
        <w:t>。</w:t>
      </w:r>
      <w:r w:rsidR="00382FA8">
        <w:rPr>
          <w:rFonts w:hint="eastAsia"/>
        </w:rPr>
        <w:t>しかし、事業セグメント別の利益でみると、</w:t>
      </w:r>
      <w:r w:rsidR="0005355D">
        <w:rPr>
          <w:rFonts w:hint="eastAsia"/>
        </w:rPr>
        <w:t>利益の構成比は</w:t>
      </w:r>
      <w:r w:rsidR="00382FA8">
        <w:rPr>
          <w:rFonts w:hint="eastAsia"/>
        </w:rPr>
        <w:t>旅行事業</w:t>
      </w:r>
      <w:r w:rsidR="0005355D">
        <w:rPr>
          <w:rFonts w:hint="eastAsia"/>
        </w:rPr>
        <w:t>が</w:t>
      </w:r>
      <w:r w:rsidR="00382FA8">
        <w:rPr>
          <w:rFonts w:hint="eastAsia"/>
        </w:rPr>
        <w:t>6</w:t>
      </w:r>
      <w:r w:rsidR="00382FA8">
        <w:t>9.7%</w:t>
      </w:r>
      <w:r w:rsidR="00382FA8">
        <w:rPr>
          <w:rFonts w:hint="eastAsia"/>
        </w:rPr>
        <w:t>、ハウステンボスグループ</w:t>
      </w:r>
      <w:r w:rsidR="0005355D">
        <w:rPr>
          <w:rFonts w:hint="eastAsia"/>
        </w:rPr>
        <w:t>が</w:t>
      </w:r>
      <w:r w:rsidR="00382FA8">
        <w:rPr>
          <w:rFonts w:hint="eastAsia"/>
        </w:rPr>
        <w:t>25.7</w:t>
      </w:r>
      <w:r w:rsidR="00382FA8">
        <w:t>%</w:t>
      </w:r>
      <w:r w:rsidR="0005355D">
        <w:rPr>
          <w:rFonts w:hint="eastAsia"/>
        </w:rPr>
        <w:t>となり、ハウステンボスは効率的に利益を生み出す主力事業として捉えられる。</w:t>
      </w:r>
    </w:p>
    <w:p w14:paraId="6203A424" w14:textId="40BCDBE9" w:rsidR="0005355D" w:rsidRDefault="0005355D" w:rsidP="008D3845"/>
    <w:p w14:paraId="061B8A87" w14:textId="3C90694B" w:rsidR="0005355D" w:rsidRPr="009E0ABF" w:rsidRDefault="002573EA" w:rsidP="0005355D">
      <w:pPr>
        <w:rPr>
          <w:b/>
          <w:bCs/>
        </w:rPr>
      </w:pPr>
      <w:r>
        <w:rPr>
          <w:b/>
          <w:bCs/>
        </w:rPr>
        <w:t>3</w:t>
      </w:r>
      <w:r w:rsidR="0005355D" w:rsidRPr="009E0ABF">
        <w:rPr>
          <w:rFonts w:hint="eastAsia"/>
          <w:b/>
          <w:bCs/>
        </w:rPr>
        <w:t>－１－</w:t>
      </w:r>
      <w:r w:rsidR="0005355D">
        <w:rPr>
          <w:rFonts w:hint="eastAsia"/>
          <w:b/>
          <w:bCs/>
        </w:rPr>
        <w:t>2</w:t>
      </w:r>
      <w:r w:rsidR="0005355D" w:rsidRPr="009E0ABF">
        <w:rPr>
          <w:rFonts w:hint="eastAsia"/>
          <w:b/>
          <w:bCs/>
        </w:rPr>
        <w:t>．エイチ・アイ・エス社</w:t>
      </w:r>
      <w:r w:rsidR="0005355D">
        <w:rPr>
          <w:rFonts w:hint="eastAsia"/>
          <w:b/>
          <w:bCs/>
        </w:rPr>
        <w:t>の経営成績と財政状態</w:t>
      </w:r>
    </w:p>
    <w:p w14:paraId="67B5462B" w14:textId="68FFE0F2" w:rsidR="00CA5880" w:rsidRDefault="00F70847" w:rsidP="008D3845">
      <w:r>
        <w:rPr>
          <w:rFonts w:hint="eastAsia"/>
        </w:rPr>
        <w:t xml:space="preserve">　H</w:t>
      </w:r>
      <w:r>
        <w:t>IS</w:t>
      </w:r>
      <w:r>
        <w:rPr>
          <w:rFonts w:hint="eastAsia"/>
        </w:rPr>
        <w:t>社は10月期決算であり、</w:t>
      </w:r>
      <w:r w:rsidR="0046393E">
        <w:rPr>
          <w:rFonts w:hint="eastAsia"/>
        </w:rPr>
        <w:t>2020年</w:t>
      </w:r>
      <w:r w:rsidR="00862E42">
        <w:rPr>
          <w:rFonts w:hint="eastAsia"/>
        </w:rPr>
        <w:t>第</w:t>
      </w:r>
      <w:r w:rsidR="00862E42">
        <w:t>2</w:t>
      </w:r>
      <w:r w:rsidR="00862E42">
        <w:rPr>
          <w:rFonts w:hint="eastAsia"/>
        </w:rPr>
        <w:t>四半期（</w:t>
      </w:r>
      <w:r w:rsidR="00862E42">
        <w:t>20.2Q</w:t>
      </w:r>
      <w:r w:rsidR="00862E42">
        <w:rPr>
          <w:rFonts w:hint="eastAsia"/>
        </w:rPr>
        <w:t>）が2020年2月から4月末の期間に該当し、第1四半期の財務数値を比較することにより、コロナの影響を把握することができる。</w:t>
      </w:r>
      <w:r w:rsidR="00CA5880">
        <w:rPr>
          <w:rFonts w:hint="eastAsia"/>
        </w:rPr>
        <w:t>表1</w:t>
      </w:r>
      <w:r w:rsidR="00CA5880">
        <w:t>1</w:t>
      </w:r>
      <w:r w:rsidR="00CA5880">
        <w:rPr>
          <w:rFonts w:hint="eastAsia"/>
        </w:rPr>
        <w:t>、表12</w:t>
      </w:r>
      <w:r w:rsidR="00AD30B9">
        <w:rPr>
          <w:rFonts w:hint="eastAsia"/>
        </w:rPr>
        <w:t>、表1</w:t>
      </w:r>
      <w:r w:rsidR="00AD30B9">
        <w:t>3</w:t>
      </w:r>
      <w:r w:rsidR="00CA5880">
        <w:rPr>
          <w:rFonts w:hint="eastAsia"/>
        </w:rPr>
        <w:t>は、H</w:t>
      </w:r>
      <w:r w:rsidR="00CA5880">
        <w:t>IS</w:t>
      </w:r>
      <w:r w:rsidR="00CA5880">
        <w:rPr>
          <w:rFonts w:hint="eastAsia"/>
        </w:rPr>
        <w:t>社の損益計算書・貸借対照表を一部抜粋してまとめたものである。表1</w:t>
      </w:r>
      <w:r w:rsidR="00AD30B9">
        <w:t>4</w:t>
      </w:r>
      <w:r w:rsidR="00CA5880">
        <w:rPr>
          <w:rFonts w:hint="eastAsia"/>
        </w:rPr>
        <w:t>は、</w:t>
      </w:r>
      <w:r w:rsidR="00E87D6F">
        <w:rPr>
          <w:rFonts w:hint="eastAsia"/>
        </w:rPr>
        <w:t>過去3年間の有価証券報告書の財務数値</w:t>
      </w:r>
      <w:r w:rsidR="00CA5880">
        <w:rPr>
          <w:rFonts w:hint="eastAsia"/>
        </w:rPr>
        <w:t>をもとに</w:t>
      </w:r>
      <w:r w:rsidR="00CA5880">
        <w:t>ROE</w:t>
      </w:r>
      <w:r w:rsidR="002F6109">
        <w:rPr>
          <w:rFonts w:hint="eastAsia"/>
        </w:rPr>
        <w:t>を</w:t>
      </w:r>
      <w:r w:rsidR="00D82D21">
        <w:rPr>
          <w:rFonts w:hint="eastAsia"/>
        </w:rPr>
        <w:t>測定し、各指標に分解したものである。</w:t>
      </w:r>
      <w:r w:rsidR="00862E42">
        <w:rPr>
          <w:rFonts w:hint="eastAsia"/>
        </w:rPr>
        <w:t>以下、推計結果である。</w:t>
      </w:r>
    </w:p>
    <w:p w14:paraId="501055EA" w14:textId="29DF44B4" w:rsidR="00537244" w:rsidRDefault="00DD6686" w:rsidP="008D3845">
      <w:r>
        <w:rPr>
          <w:rFonts w:hint="eastAsia"/>
        </w:rPr>
        <w:t xml:space="preserve">　</w:t>
      </w:r>
      <w:r w:rsidR="0046393E">
        <w:rPr>
          <w:rFonts w:hint="eastAsia"/>
        </w:rPr>
        <w:t>表1</w:t>
      </w:r>
      <w:r w:rsidR="00FE61B3">
        <w:t>1</w:t>
      </w:r>
      <w:r w:rsidR="0046393E">
        <w:rPr>
          <w:rFonts w:hint="eastAsia"/>
        </w:rPr>
        <w:t>の損益計算書より、2020年第</w:t>
      </w:r>
      <w:r w:rsidR="0046393E">
        <w:t>2</w:t>
      </w:r>
      <w:r w:rsidR="0046393E">
        <w:rPr>
          <w:rFonts w:hint="eastAsia"/>
        </w:rPr>
        <w:t>四半期（</w:t>
      </w:r>
      <w:r w:rsidR="0046393E">
        <w:t>20.2Q</w:t>
      </w:r>
      <w:r w:rsidR="0046393E">
        <w:rPr>
          <w:rFonts w:hint="eastAsia"/>
        </w:rPr>
        <w:t>）を前期と比較すると、売上高は550億円減少の1</w:t>
      </w:r>
      <w:r w:rsidR="0046393E">
        <w:t>447</w:t>
      </w:r>
      <w:r w:rsidR="0046393E">
        <w:rPr>
          <w:rFonts w:hint="eastAsia"/>
        </w:rPr>
        <w:t>億円となり、その影響で営業利益は</w:t>
      </w:r>
      <w:r w:rsidR="0046393E">
        <w:t>52</w:t>
      </w:r>
      <w:r w:rsidR="0046393E">
        <w:rPr>
          <w:rFonts w:hint="eastAsia"/>
        </w:rPr>
        <w:t>億円の赤字、特別損失は</w:t>
      </w:r>
      <w:r w:rsidR="0046393E">
        <w:t>38</w:t>
      </w:r>
      <w:r w:rsidR="0046393E">
        <w:rPr>
          <w:rFonts w:hint="eastAsia"/>
        </w:rPr>
        <w:t>億円の赤字となり、最終的には当期純利益は7</w:t>
      </w:r>
      <w:r w:rsidR="0046393E">
        <w:t>2</w:t>
      </w:r>
      <w:r w:rsidR="0046393E">
        <w:rPr>
          <w:rFonts w:hint="eastAsia"/>
        </w:rPr>
        <w:t>億円の赤字となっている。前年度</w:t>
      </w:r>
      <w:r w:rsidR="00711EF9">
        <w:rPr>
          <w:rFonts w:hint="eastAsia"/>
        </w:rPr>
        <w:t>、</w:t>
      </w:r>
      <w:r w:rsidR="0046393E">
        <w:rPr>
          <w:rFonts w:hint="eastAsia"/>
        </w:rPr>
        <w:t>前期</w:t>
      </w:r>
      <w:r w:rsidR="00711EF9">
        <w:rPr>
          <w:rFonts w:hint="eastAsia"/>
        </w:rPr>
        <w:t>の業績を比較すると</w:t>
      </w:r>
      <w:r w:rsidR="0046393E">
        <w:rPr>
          <w:rFonts w:hint="eastAsia"/>
        </w:rPr>
        <w:t>、コロナの影響により、</w:t>
      </w:r>
      <w:r w:rsidR="00711EF9">
        <w:rPr>
          <w:rFonts w:hint="eastAsia"/>
        </w:rPr>
        <w:t>当期純利益</w:t>
      </w:r>
      <w:r w:rsidR="0046393E">
        <w:rPr>
          <w:rFonts w:hint="eastAsia"/>
        </w:rPr>
        <w:t>は100億円以上</w:t>
      </w:r>
      <w:r w:rsidR="00711EF9">
        <w:rPr>
          <w:rFonts w:hint="eastAsia"/>
        </w:rPr>
        <w:t>、</w:t>
      </w:r>
      <w:r w:rsidR="0046393E">
        <w:rPr>
          <w:rFonts w:hint="eastAsia"/>
        </w:rPr>
        <w:t>下振れしていることが分かる。</w:t>
      </w:r>
    </w:p>
    <w:p w14:paraId="5FF1239D" w14:textId="4467D32F" w:rsidR="00A5639E" w:rsidRDefault="00711EF9" w:rsidP="008D3845">
      <w:r>
        <w:rPr>
          <w:rFonts w:hint="eastAsia"/>
        </w:rPr>
        <w:t xml:space="preserve">　表1</w:t>
      </w:r>
      <w:r w:rsidR="00FE61B3">
        <w:t>2</w:t>
      </w:r>
      <w:r>
        <w:rPr>
          <w:rFonts w:hint="eastAsia"/>
        </w:rPr>
        <w:t>の貸借対照表より、</w:t>
      </w:r>
      <w:r w:rsidR="00A77DD5">
        <w:rPr>
          <w:rFonts w:hint="eastAsia"/>
        </w:rPr>
        <w:t>資産の部</w:t>
      </w:r>
      <w:r w:rsidR="009F00F0">
        <w:rPr>
          <w:rFonts w:hint="eastAsia"/>
        </w:rPr>
        <w:t>をみると、流動資産</w:t>
      </w:r>
      <w:r w:rsidR="00A77DD5">
        <w:rPr>
          <w:rFonts w:hint="eastAsia"/>
        </w:rPr>
        <w:t>は</w:t>
      </w:r>
      <w:r w:rsidR="005A5928">
        <w:rPr>
          <w:rFonts w:hint="eastAsia"/>
        </w:rPr>
        <w:t>前期比で</w:t>
      </w:r>
      <w:r w:rsidR="00A77DD5">
        <w:rPr>
          <w:rFonts w:hint="eastAsia"/>
        </w:rPr>
        <w:t>1146億円減少しており、そのうち</w:t>
      </w:r>
      <w:r w:rsidR="005C5E96">
        <w:rPr>
          <w:rFonts w:hint="eastAsia"/>
        </w:rPr>
        <w:t>現金及び預金が</w:t>
      </w:r>
      <w:r w:rsidR="00A77DD5">
        <w:rPr>
          <w:rFonts w:hint="eastAsia"/>
        </w:rPr>
        <w:t>約700億円、受取手形及び売掛金が200億円減少している。固定資産は土地の取得により約250億円増加している以外、大きな変動はない。一方で、</w:t>
      </w:r>
      <w:r w:rsidR="007B4DE0">
        <w:rPr>
          <w:rFonts w:hint="eastAsia"/>
        </w:rPr>
        <w:t>表1</w:t>
      </w:r>
      <w:r w:rsidR="007B4DE0">
        <w:t>3</w:t>
      </w:r>
      <w:r w:rsidR="007B4DE0">
        <w:rPr>
          <w:rFonts w:hint="eastAsia"/>
        </w:rPr>
        <w:t>の</w:t>
      </w:r>
      <w:r w:rsidR="00A77DD5">
        <w:rPr>
          <w:rFonts w:hint="eastAsia"/>
        </w:rPr>
        <w:t>負債の部をみると</w:t>
      </w:r>
      <w:r w:rsidR="005A5928">
        <w:rPr>
          <w:rFonts w:hint="eastAsia"/>
        </w:rPr>
        <w:t>、流動負債が前期比で</w:t>
      </w:r>
      <w:r w:rsidR="005A5928">
        <w:t>830</w:t>
      </w:r>
      <w:r w:rsidR="005A5928">
        <w:rPr>
          <w:rFonts w:hint="eastAsia"/>
        </w:rPr>
        <w:t>億円減少しており、減少した流動資産は流動負債の返済に充てられたと考えられる。また、純資産の利益剰余金は</w:t>
      </w:r>
      <w:r w:rsidR="00FE61B3">
        <w:rPr>
          <w:rFonts w:hint="eastAsia"/>
        </w:rPr>
        <w:t>業績赤字により60億円減少している。</w:t>
      </w:r>
    </w:p>
    <w:p w14:paraId="7725F224" w14:textId="57302B40" w:rsidR="005A5928" w:rsidRDefault="00FE61B3" w:rsidP="008D3845">
      <w:r>
        <w:rPr>
          <w:rFonts w:hint="eastAsia"/>
        </w:rPr>
        <w:t xml:space="preserve">　表1</w:t>
      </w:r>
      <w:r w:rsidR="007B4DE0">
        <w:t>4</w:t>
      </w:r>
      <w:r w:rsidR="00E87D6F">
        <w:rPr>
          <w:rFonts w:hint="eastAsia"/>
        </w:rPr>
        <w:t>は、過去3年間のR</w:t>
      </w:r>
      <w:r w:rsidR="00E87D6F">
        <w:t>OE</w:t>
      </w:r>
      <w:r w:rsidR="00E87D6F">
        <w:rPr>
          <w:rFonts w:hint="eastAsia"/>
        </w:rPr>
        <w:t>の指標であり、H</w:t>
      </w:r>
      <w:r w:rsidR="00E87D6F">
        <w:t>IS</w:t>
      </w:r>
      <w:r w:rsidR="00E87D6F">
        <w:rPr>
          <w:rFonts w:hint="eastAsia"/>
        </w:rPr>
        <w:t>社はO</w:t>
      </w:r>
      <w:r w:rsidR="00E87D6F">
        <w:t>LC</w:t>
      </w:r>
      <w:r w:rsidR="00E87D6F">
        <w:rPr>
          <w:rFonts w:hint="eastAsia"/>
        </w:rPr>
        <w:t>とは対照的に、収益性と安全性の指標が低く、効率性の指標が突出している。つまり</w:t>
      </w:r>
      <w:r w:rsidR="000663DE">
        <w:rPr>
          <w:rFonts w:hint="eastAsia"/>
        </w:rPr>
        <w:t>、効率性の指標である総資本回転率がR</w:t>
      </w:r>
      <w:r w:rsidR="000663DE">
        <w:t>OE</w:t>
      </w:r>
      <w:r w:rsidR="000663DE">
        <w:rPr>
          <w:rFonts w:hint="eastAsia"/>
        </w:rPr>
        <w:t>を大幅に引き上げる要因となっている。また、財務安全性について、財務レバレッジは2倍程度の水準が優良企業の水準とされており、自己資本比率は全産業平均の半分以下であるため、</w:t>
      </w:r>
      <w:r w:rsidR="007B4DE0">
        <w:rPr>
          <w:rFonts w:hint="eastAsia"/>
        </w:rPr>
        <w:t>財務上</w:t>
      </w:r>
      <w:r w:rsidR="000663DE">
        <w:rPr>
          <w:rFonts w:hint="eastAsia"/>
        </w:rPr>
        <w:t>リスクの高い経営</w:t>
      </w:r>
      <w:r w:rsidR="007B4DE0">
        <w:rPr>
          <w:rFonts w:hint="eastAsia"/>
        </w:rPr>
        <w:t>をしている</w:t>
      </w:r>
      <w:r w:rsidR="000663DE">
        <w:rPr>
          <w:rFonts w:hint="eastAsia"/>
        </w:rPr>
        <w:t>状態である。次項では、財務上の安全性の指標について詳しく考察していく。</w:t>
      </w:r>
    </w:p>
    <w:p w14:paraId="489E4152" w14:textId="7A3CCE09" w:rsidR="005A5928" w:rsidRDefault="005A5928" w:rsidP="008D3845"/>
    <w:p w14:paraId="09B93B04" w14:textId="2219B2CA" w:rsidR="005A5928" w:rsidRDefault="005A5928" w:rsidP="008D3845"/>
    <w:p w14:paraId="4EECBAE9" w14:textId="6ACB5A14" w:rsidR="005A5928" w:rsidRDefault="005A5928" w:rsidP="008D3845"/>
    <w:p w14:paraId="3B4E08AF" w14:textId="34199E4F" w:rsidR="00A5639E" w:rsidRDefault="00A5639E" w:rsidP="008D3845"/>
    <w:p w14:paraId="666A246A" w14:textId="6B376343" w:rsidR="00A5639E" w:rsidRPr="00A5639E" w:rsidRDefault="00A5639E" w:rsidP="00A5639E">
      <w:pPr>
        <w:widowControl/>
        <w:jc w:val="left"/>
      </w:pPr>
      <w:r>
        <w:rPr>
          <w:rFonts w:hint="eastAsia"/>
        </w:rPr>
        <w:lastRenderedPageBreak/>
        <w:t>表</w:t>
      </w:r>
      <w:r>
        <w:t>11</w:t>
      </w:r>
      <w:r>
        <w:rPr>
          <w:rFonts w:hint="eastAsia"/>
        </w:rPr>
        <w:t xml:space="preserve">　</w:t>
      </w:r>
      <w:r w:rsidRPr="00DD0703">
        <w:rPr>
          <w:rFonts w:hint="eastAsia"/>
        </w:rPr>
        <w:t>エイチ・アイ・エス</w:t>
      </w:r>
      <w:r>
        <w:rPr>
          <w:rFonts w:hint="eastAsia"/>
        </w:rPr>
        <w:t>社の損益計算書（四半期）</w:t>
      </w:r>
    </w:p>
    <w:tbl>
      <w:tblPr>
        <w:tblW w:w="8394" w:type="dxa"/>
        <w:tblInd w:w="-30" w:type="dxa"/>
        <w:tblLayout w:type="fixed"/>
        <w:tblCellMar>
          <w:left w:w="99" w:type="dxa"/>
          <w:right w:w="99" w:type="dxa"/>
        </w:tblCellMar>
        <w:tblLook w:val="0000" w:firstRow="0" w:lastRow="0" w:firstColumn="0" w:lastColumn="0" w:noHBand="0" w:noVBand="0"/>
      </w:tblPr>
      <w:tblGrid>
        <w:gridCol w:w="2492"/>
        <w:gridCol w:w="957"/>
        <w:gridCol w:w="976"/>
        <w:gridCol w:w="992"/>
        <w:gridCol w:w="992"/>
        <w:gridCol w:w="992"/>
        <w:gridCol w:w="993"/>
      </w:tblGrid>
      <w:tr w:rsidR="00A5639E" w14:paraId="2CEF60A4" w14:textId="77777777" w:rsidTr="00A5639E">
        <w:trPr>
          <w:trHeight w:val="316"/>
        </w:trPr>
        <w:tc>
          <w:tcPr>
            <w:tcW w:w="2492" w:type="dxa"/>
            <w:tcBorders>
              <w:top w:val="single" w:sz="6" w:space="0" w:color="000000"/>
              <w:left w:val="nil"/>
              <w:bottom w:val="single" w:sz="6" w:space="0" w:color="000000"/>
              <w:right w:val="nil"/>
            </w:tcBorders>
          </w:tcPr>
          <w:p w14:paraId="59636424" w14:textId="77777777" w:rsidR="00A5639E" w:rsidRDefault="00A5639E">
            <w:pPr>
              <w:autoSpaceDE w:val="0"/>
              <w:autoSpaceDN w:val="0"/>
              <w:adjustRightInd w:val="0"/>
              <w:jc w:val="right"/>
              <w:rPr>
                <w:rFonts w:ascii="Calibri" w:hAnsi="Calibri" w:cs="Calibri"/>
                <w:color w:val="000000"/>
                <w:kern w:val="0"/>
                <w:sz w:val="20"/>
                <w:szCs w:val="20"/>
              </w:rPr>
            </w:pPr>
          </w:p>
        </w:tc>
        <w:tc>
          <w:tcPr>
            <w:tcW w:w="957" w:type="dxa"/>
            <w:tcBorders>
              <w:top w:val="single" w:sz="6" w:space="0" w:color="000000"/>
              <w:left w:val="nil"/>
              <w:bottom w:val="single" w:sz="6" w:space="0" w:color="000000"/>
              <w:right w:val="nil"/>
            </w:tcBorders>
          </w:tcPr>
          <w:p w14:paraId="55059A69" w14:textId="55F4677E" w:rsidR="00A5639E" w:rsidRPr="00C74F0E" w:rsidRDefault="00A5639E">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1</w:t>
            </w:r>
            <w:r w:rsidR="002D5420" w:rsidRPr="00C74F0E">
              <w:rPr>
                <w:rFonts w:ascii="Century" w:hAnsi="Century" w:cs="Arial"/>
                <w:b/>
                <w:bCs/>
                <w:color w:val="000000"/>
                <w:kern w:val="0"/>
                <w:sz w:val="20"/>
                <w:szCs w:val="20"/>
              </w:rPr>
              <w:t>9</w:t>
            </w:r>
            <w:r w:rsidRPr="00C74F0E">
              <w:rPr>
                <w:rFonts w:ascii="Century" w:hAnsi="Century" w:cs="Arial"/>
                <w:b/>
                <w:bCs/>
                <w:color w:val="000000"/>
                <w:kern w:val="0"/>
                <w:sz w:val="20"/>
                <w:szCs w:val="20"/>
              </w:rPr>
              <w:t>.Q1</w:t>
            </w:r>
          </w:p>
        </w:tc>
        <w:tc>
          <w:tcPr>
            <w:tcW w:w="976" w:type="dxa"/>
            <w:tcBorders>
              <w:top w:val="single" w:sz="6" w:space="0" w:color="000000"/>
              <w:left w:val="nil"/>
              <w:bottom w:val="single" w:sz="6" w:space="0" w:color="000000"/>
              <w:right w:val="nil"/>
            </w:tcBorders>
          </w:tcPr>
          <w:p w14:paraId="5301861C" w14:textId="19F84969" w:rsidR="00A5639E" w:rsidRPr="00C74F0E" w:rsidRDefault="00A5639E">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1</w:t>
            </w:r>
            <w:r w:rsidR="002D5420" w:rsidRPr="00C74F0E">
              <w:rPr>
                <w:rFonts w:ascii="Century" w:hAnsi="Century" w:cs="Arial"/>
                <w:b/>
                <w:bCs/>
                <w:color w:val="000000"/>
                <w:kern w:val="0"/>
                <w:sz w:val="20"/>
                <w:szCs w:val="20"/>
              </w:rPr>
              <w:t>9</w:t>
            </w:r>
            <w:r w:rsidRPr="00C74F0E">
              <w:rPr>
                <w:rFonts w:ascii="Century" w:hAnsi="Century" w:cs="Arial"/>
                <w:b/>
                <w:bCs/>
                <w:color w:val="000000"/>
                <w:kern w:val="0"/>
                <w:sz w:val="20"/>
                <w:szCs w:val="20"/>
              </w:rPr>
              <w:t>.Q2</w:t>
            </w:r>
          </w:p>
        </w:tc>
        <w:tc>
          <w:tcPr>
            <w:tcW w:w="992" w:type="dxa"/>
            <w:tcBorders>
              <w:top w:val="single" w:sz="6" w:space="0" w:color="000000"/>
              <w:left w:val="nil"/>
              <w:bottom w:val="single" w:sz="6" w:space="0" w:color="000000"/>
              <w:right w:val="nil"/>
            </w:tcBorders>
          </w:tcPr>
          <w:p w14:paraId="7C82C373" w14:textId="369D6CCC" w:rsidR="00A5639E" w:rsidRPr="00C74F0E" w:rsidRDefault="00A5639E">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1</w:t>
            </w:r>
            <w:r w:rsidR="002D5420" w:rsidRPr="00C74F0E">
              <w:rPr>
                <w:rFonts w:ascii="Century" w:hAnsi="Century" w:cs="Arial"/>
                <w:b/>
                <w:bCs/>
                <w:color w:val="000000"/>
                <w:kern w:val="0"/>
                <w:sz w:val="20"/>
                <w:szCs w:val="20"/>
              </w:rPr>
              <w:t>9</w:t>
            </w:r>
            <w:r w:rsidRPr="00C74F0E">
              <w:rPr>
                <w:rFonts w:ascii="Century" w:hAnsi="Century" w:cs="Arial"/>
                <w:b/>
                <w:bCs/>
                <w:color w:val="000000"/>
                <w:kern w:val="0"/>
                <w:sz w:val="20"/>
                <w:szCs w:val="20"/>
              </w:rPr>
              <w:t>.Q3</w:t>
            </w:r>
          </w:p>
        </w:tc>
        <w:tc>
          <w:tcPr>
            <w:tcW w:w="992" w:type="dxa"/>
            <w:tcBorders>
              <w:top w:val="single" w:sz="6" w:space="0" w:color="000000"/>
              <w:left w:val="nil"/>
              <w:bottom w:val="single" w:sz="6" w:space="0" w:color="000000"/>
              <w:right w:val="nil"/>
            </w:tcBorders>
          </w:tcPr>
          <w:p w14:paraId="3F910678" w14:textId="71109C6C" w:rsidR="00A5639E" w:rsidRPr="00C74F0E" w:rsidRDefault="00A5639E">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1</w:t>
            </w:r>
            <w:r w:rsidR="002D5420" w:rsidRPr="00C74F0E">
              <w:rPr>
                <w:rFonts w:ascii="Century" w:hAnsi="Century" w:cs="Arial"/>
                <w:b/>
                <w:bCs/>
                <w:color w:val="000000"/>
                <w:kern w:val="0"/>
                <w:sz w:val="20"/>
                <w:szCs w:val="20"/>
              </w:rPr>
              <w:t>9</w:t>
            </w:r>
            <w:r w:rsidRPr="00C74F0E">
              <w:rPr>
                <w:rFonts w:ascii="Century" w:hAnsi="Century" w:cs="Arial"/>
                <w:b/>
                <w:bCs/>
                <w:color w:val="000000"/>
                <w:kern w:val="0"/>
                <w:sz w:val="20"/>
                <w:szCs w:val="20"/>
              </w:rPr>
              <w:t>.Q4</w:t>
            </w:r>
          </w:p>
        </w:tc>
        <w:tc>
          <w:tcPr>
            <w:tcW w:w="992" w:type="dxa"/>
            <w:tcBorders>
              <w:top w:val="single" w:sz="6" w:space="0" w:color="000000"/>
              <w:left w:val="nil"/>
              <w:bottom w:val="single" w:sz="6" w:space="0" w:color="000000"/>
              <w:right w:val="nil"/>
            </w:tcBorders>
          </w:tcPr>
          <w:p w14:paraId="39B1EE74" w14:textId="7BA81FD3" w:rsidR="00A5639E" w:rsidRPr="00C74F0E" w:rsidRDefault="002D5420">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20</w:t>
            </w:r>
            <w:r w:rsidR="00A5639E" w:rsidRPr="00C74F0E">
              <w:rPr>
                <w:rFonts w:ascii="Century" w:hAnsi="Century" w:cs="Arial"/>
                <w:b/>
                <w:bCs/>
                <w:color w:val="000000"/>
                <w:kern w:val="0"/>
                <w:sz w:val="20"/>
                <w:szCs w:val="20"/>
              </w:rPr>
              <w:t>.Q1</w:t>
            </w:r>
          </w:p>
        </w:tc>
        <w:tc>
          <w:tcPr>
            <w:tcW w:w="993" w:type="dxa"/>
            <w:tcBorders>
              <w:top w:val="single" w:sz="6" w:space="0" w:color="000000"/>
              <w:left w:val="nil"/>
              <w:bottom w:val="single" w:sz="6" w:space="0" w:color="000000"/>
              <w:right w:val="nil"/>
            </w:tcBorders>
          </w:tcPr>
          <w:p w14:paraId="7A15AF34" w14:textId="7E7D3A4D" w:rsidR="00A5639E" w:rsidRPr="00C74F0E" w:rsidRDefault="002D5420">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20</w:t>
            </w:r>
            <w:r w:rsidR="00A5639E" w:rsidRPr="00C74F0E">
              <w:rPr>
                <w:rFonts w:ascii="Century" w:hAnsi="Century" w:cs="Arial"/>
                <w:b/>
                <w:bCs/>
                <w:color w:val="000000"/>
                <w:kern w:val="0"/>
                <w:sz w:val="20"/>
                <w:szCs w:val="20"/>
              </w:rPr>
              <w:t>.Q2</w:t>
            </w:r>
          </w:p>
        </w:tc>
      </w:tr>
      <w:tr w:rsidR="00A5639E" w14:paraId="4DB76391" w14:textId="77777777" w:rsidTr="00A5639E">
        <w:trPr>
          <w:trHeight w:val="316"/>
        </w:trPr>
        <w:tc>
          <w:tcPr>
            <w:tcW w:w="2492" w:type="dxa"/>
            <w:tcBorders>
              <w:top w:val="nil"/>
              <w:left w:val="nil"/>
              <w:bottom w:val="nil"/>
              <w:right w:val="nil"/>
            </w:tcBorders>
          </w:tcPr>
          <w:p w14:paraId="765B4C11" w14:textId="77777777" w:rsidR="00A5639E" w:rsidRPr="00A5639E" w:rsidRDefault="00A5639E">
            <w:pPr>
              <w:autoSpaceDE w:val="0"/>
              <w:autoSpaceDN w:val="0"/>
              <w:adjustRightInd w:val="0"/>
              <w:jc w:val="left"/>
              <w:rPr>
                <w:rFonts w:asciiTheme="minorEastAsia" w:hAnsiTheme="minorEastAsia" w:cs="Calibri"/>
                <w:color w:val="000000"/>
                <w:kern w:val="0"/>
                <w:sz w:val="20"/>
                <w:szCs w:val="20"/>
              </w:rPr>
            </w:pPr>
            <w:r w:rsidRPr="00A5639E">
              <w:rPr>
                <w:rFonts w:asciiTheme="minorEastAsia" w:hAnsiTheme="minorEastAsia" w:cs="Calibri"/>
                <w:color w:val="000000"/>
                <w:kern w:val="0"/>
                <w:sz w:val="20"/>
                <w:szCs w:val="20"/>
              </w:rPr>
              <w:t>損益計算書</w:t>
            </w:r>
          </w:p>
        </w:tc>
        <w:tc>
          <w:tcPr>
            <w:tcW w:w="957" w:type="dxa"/>
            <w:tcBorders>
              <w:top w:val="nil"/>
              <w:left w:val="nil"/>
              <w:bottom w:val="nil"/>
              <w:right w:val="nil"/>
            </w:tcBorders>
          </w:tcPr>
          <w:p w14:paraId="278215DF" w14:textId="77777777" w:rsidR="00A5639E" w:rsidRPr="00C74F0E" w:rsidRDefault="00A5639E">
            <w:pPr>
              <w:autoSpaceDE w:val="0"/>
              <w:autoSpaceDN w:val="0"/>
              <w:adjustRightInd w:val="0"/>
              <w:jc w:val="right"/>
              <w:rPr>
                <w:rFonts w:ascii="Century" w:hAnsi="Century" w:cs="Arial"/>
                <w:color w:val="000000"/>
                <w:kern w:val="0"/>
                <w:sz w:val="20"/>
                <w:szCs w:val="20"/>
              </w:rPr>
            </w:pPr>
          </w:p>
        </w:tc>
        <w:tc>
          <w:tcPr>
            <w:tcW w:w="976" w:type="dxa"/>
            <w:tcBorders>
              <w:top w:val="nil"/>
              <w:left w:val="nil"/>
              <w:bottom w:val="nil"/>
              <w:right w:val="nil"/>
            </w:tcBorders>
          </w:tcPr>
          <w:p w14:paraId="448DE2DB" w14:textId="77777777" w:rsidR="00A5639E" w:rsidRPr="00C74F0E" w:rsidRDefault="00A5639E">
            <w:pPr>
              <w:autoSpaceDE w:val="0"/>
              <w:autoSpaceDN w:val="0"/>
              <w:adjustRightInd w:val="0"/>
              <w:jc w:val="right"/>
              <w:rPr>
                <w:rFonts w:ascii="Century" w:hAnsi="Century" w:cs="Arial"/>
                <w:color w:val="000000"/>
                <w:kern w:val="0"/>
                <w:sz w:val="20"/>
                <w:szCs w:val="20"/>
              </w:rPr>
            </w:pPr>
          </w:p>
        </w:tc>
        <w:tc>
          <w:tcPr>
            <w:tcW w:w="992" w:type="dxa"/>
            <w:tcBorders>
              <w:top w:val="nil"/>
              <w:left w:val="nil"/>
              <w:bottom w:val="nil"/>
              <w:right w:val="nil"/>
            </w:tcBorders>
          </w:tcPr>
          <w:p w14:paraId="1244B30B" w14:textId="77777777" w:rsidR="00A5639E" w:rsidRPr="00C74F0E" w:rsidRDefault="00A5639E">
            <w:pPr>
              <w:autoSpaceDE w:val="0"/>
              <w:autoSpaceDN w:val="0"/>
              <w:adjustRightInd w:val="0"/>
              <w:jc w:val="right"/>
              <w:rPr>
                <w:rFonts w:ascii="Century" w:hAnsi="Century" w:cs="Arial"/>
                <w:color w:val="000000"/>
                <w:kern w:val="0"/>
                <w:sz w:val="20"/>
                <w:szCs w:val="20"/>
              </w:rPr>
            </w:pPr>
          </w:p>
        </w:tc>
        <w:tc>
          <w:tcPr>
            <w:tcW w:w="992" w:type="dxa"/>
            <w:tcBorders>
              <w:top w:val="nil"/>
              <w:left w:val="nil"/>
              <w:bottom w:val="nil"/>
              <w:right w:val="nil"/>
            </w:tcBorders>
          </w:tcPr>
          <w:p w14:paraId="70956B69" w14:textId="77777777" w:rsidR="00A5639E" w:rsidRPr="00C74F0E" w:rsidRDefault="00A5639E">
            <w:pPr>
              <w:autoSpaceDE w:val="0"/>
              <w:autoSpaceDN w:val="0"/>
              <w:adjustRightInd w:val="0"/>
              <w:jc w:val="right"/>
              <w:rPr>
                <w:rFonts w:ascii="Century" w:hAnsi="Century" w:cs="Arial"/>
                <w:color w:val="000000"/>
                <w:kern w:val="0"/>
                <w:sz w:val="20"/>
                <w:szCs w:val="20"/>
              </w:rPr>
            </w:pPr>
          </w:p>
        </w:tc>
        <w:tc>
          <w:tcPr>
            <w:tcW w:w="992" w:type="dxa"/>
            <w:tcBorders>
              <w:top w:val="nil"/>
              <w:left w:val="nil"/>
              <w:bottom w:val="nil"/>
              <w:right w:val="nil"/>
            </w:tcBorders>
          </w:tcPr>
          <w:p w14:paraId="2F4680C0" w14:textId="77777777" w:rsidR="00A5639E" w:rsidRPr="00C74F0E" w:rsidRDefault="00A5639E">
            <w:pPr>
              <w:autoSpaceDE w:val="0"/>
              <w:autoSpaceDN w:val="0"/>
              <w:adjustRightInd w:val="0"/>
              <w:jc w:val="right"/>
              <w:rPr>
                <w:rFonts w:ascii="Century" w:hAnsi="Century" w:cs="Arial"/>
                <w:color w:val="000000"/>
                <w:kern w:val="0"/>
                <w:sz w:val="20"/>
                <w:szCs w:val="20"/>
              </w:rPr>
            </w:pPr>
          </w:p>
        </w:tc>
        <w:tc>
          <w:tcPr>
            <w:tcW w:w="993" w:type="dxa"/>
            <w:tcBorders>
              <w:top w:val="nil"/>
              <w:left w:val="nil"/>
              <w:bottom w:val="nil"/>
              <w:right w:val="nil"/>
            </w:tcBorders>
          </w:tcPr>
          <w:p w14:paraId="3EC604EA" w14:textId="77777777" w:rsidR="00A5639E" w:rsidRPr="00C74F0E" w:rsidRDefault="00A5639E">
            <w:pPr>
              <w:autoSpaceDE w:val="0"/>
              <w:autoSpaceDN w:val="0"/>
              <w:adjustRightInd w:val="0"/>
              <w:jc w:val="right"/>
              <w:rPr>
                <w:rFonts w:ascii="Century" w:hAnsi="Century" w:cs="Arial"/>
                <w:color w:val="000000"/>
                <w:kern w:val="0"/>
                <w:sz w:val="20"/>
                <w:szCs w:val="20"/>
              </w:rPr>
            </w:pPr>
          </w:p>
        </w:tc>
      </w:tr>
      <w:tr w:rsidR="00A5639E" w14:paraId="45B21029" w14:textId="77777777" w:rsidTr="00A5639E">
        <w:trPr>
          <w:trHeight w:val="316"/>
        </w:trPr>
        <w:tc>
          <w:tcPr>
            <w:tcW w:w="2492" w:type="dxa"/>
            <w:tcBorders>
              <w:top w:val="nil"/>
              <w:left w:val="nil"/>
              <w:bottom w:val="nil"/>
              <w:right w:val="nil"/>
            </w:tcBorders>
          </w:tcPr>
          <w:p w14:paraId="0F73945C" w14:textId="77777777" w:rsidR="00A5639E" w:rsidRPr="00A5639E" w:rsidRDefault="00A5639E">
            <w:pPr>
              <w:autoSpaceDE w:val="0"/>
              <w:autoSpaceDN w:val="0"/>
              <w:adjustRightInd w:val="0"/>
              <w:jc w:val="left"/>
              <w:rPr>
                <w:rFonts w:asciiTheme="minorEastAsia" w:hAnsiTheme="minorEastAsia" w:cs="Calibri"/>
                <w:color w:val="000000"/>
                <w:kern w:val="0"/>
                <w:sz w:val="20"/>
                <w:szCs w:val="20"/>
              </w:rPr>
            </w:pPr>
            <w:r w:rsidRPr="00A5639E">
              <w:rPr>
                <w:rFonts w:asciiTheme="minorEastAsia" w:hAnsiTheme="minorEastAsia" w:cs="Calibri"/>
                <w:color w:val="000000"/>
                <w:kern w:val="0"/>
                <w:sz w:val="20"/>
                <w:szCs w:val="20"/>
              </w:rPr>
              <w:t>売上高</w:t>
            </w:r>
          </w:p>
        </w:tc>
        <w:tc>
          <w:tcPr>
            <w:tcW w:w="957" w:type="dxa"/>
            <w:tcBorders>
              <w:top w:val="nil"/>
              <w:left w:val="nil"/>
              <w:bottom w:val="nil"/>
              <w:right w:val="nil"/>
            </w:tcBorders>
          </w:tcPr>
          <w:p w14:paraId="600F495D" w14:textId="77777777" w:rsidR="00A5639E" w:rsidRPr="00C74F0E" w:rsidRDefault="00A5639E">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187,276</w:t>
            </w:r>
          </w:p>
        </w:tc>
        <w:tc>
          <w:tcPr>
            <w:tcW w:w="976" w:type="dxa"/>
            <w:tcBorders>
              <w:top w:val="nil"/>
              <w:left w:val="nil"/>
              <w:bottom w:val="nil"/>
              <w:right w:val="nil"/>
            </w:tcBorders>
          </w:tcPr>
          <w:p w14:paraId="457E5A9D" w14:textId="77777777" w:rsidR="00A5639E" w:rsidRPr="00C74F0E" w:rsidRDefault="00A5639E">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190,563</w:t>
            </w:r>
          </w:p>
        </w:tc>
        <w:tc>
          <w:tcPr>
            <w:tcW w:w="992" w:type="dxa"/>
            <w:tcBorders>
              <w:top w:val="nil"/>
              <w:left w:val="nil"/>
              <w:bottom w:val="nil"/>
              <w:right w:val="nil"/>
            </w:tcBorders>
          </w:tcPr>
          <w:p w14:paraId="1B670D1B" w14:textId="77777777" w:rsidR="00A5639E" w:rsidRPr="00C74F0E" w:rsidRDefault="00A5639E">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195,878</w:t>
            </w:r>
          </w:p>
        </w:tc>
        <w:tc>
          <w:tcPr>
            <w:tcW w:w="992" w:type="dxa"/>
            <w:tcBorders>
              <w:top w:val="nil"/>
              <w:left w:val="nil"/>
              <w:bottom w:val="nil"/>
              <w:right w:val="nil"/>
            </w:tcBorders>
          </w:tcPr>
          <w:p w14:paraId="5B6E9701" w14:textId="77777777" w:rsidR="00A5639E" w:rsidRPr="00C74F0E" w:rsidRDefault="00A5639E">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234,793</w:t>
            </w:r>
          </w:p>
        </w:tc>
        <w:tc>
          <w:tcPr>
            <w:tcW w:w="992" w:type="dxa"/>
            <w:tcBorders>
              <w:top w:val="nil"/>
              <w:left w:val="nil"/>
              <w:bottom w:val="nil"/>
              <w:right w:val="nil"/>
            </w:tcBorders>
          </w:tcPr>
          <w:p w14:paraId="3CA3E52B" w14:textId="77777777" w:rsidR="00A5639E" w:rsidRPr="00C74F0E" w:rsidRDefault="00A5639E">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199,618</w:t>
            </w:r>
          </w:p>
        </w:tc>
        <w:tc>
          <w:tcPr>
            <w:tcW w:w="993" w:type="dxa"/>
            <w:tcBorders>
              <w:top w:val="nil"/>
              <w:left w:val="nil"/>
              <w:bottom w:val="nil"/>
              <w:right w:val="nil"/>
            </w:tcBorders>
          </w:tcPr>
          <w:p w14:paraId="769B7A5C" w14:textId="77777777" w:rsidR="00A5639E" w:rsidRPr="00C74F0E" w:rsidRDefault="00A5639E">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144,735</w:t>
            </w:r>
          </w:p>
        </w:tc>
      </w:tr>
      <w:tr w:rsidR="00A5639E" w14:paraId="23EC2463" w14:textId="77777777" w:rsidTr="00A5639E">
        <w:trPr>
          <w:trHeight w:val="316"/>
        </w:trPr>
        <w:tc>
          <w:tcPr>
            <w:tcW w:w="2492" w:type="dxa"/>
            <w:tcBorders>
              <w:top w:val="nil"/>
              <w:left w:val="nil"/>
              <w:bottom w:val="nil"/>
              <w:right w:val="nil"/>
            </w:tcBorders>
          </w:tcPr>
          <w:p w14:paraId="5B22CEBB" w14:textId="77777777" w:rsidR="00A5639E" w:rsidRPr="00A5639E" w:rsidRDefault="00A5639E">
            <w:pPr>
              <w:autoSpaceDE w:val="0"/>
              <w:autoSpaceDN w:val="0"/>
              <w:adjustRightInd w:val="0"/>
              <w:jc w:val="left"/>
              <w:rPr>
                <w:rFonts w:asciiTheme="minorEastAsia" w:hAnsiTheme="minorEastAsia" w:cs="ＭＳ ゴシック"/>
                <w:color w:val="000000"/>
                <w:kern w:val="0"/>
                <w:sz w:val="20"/>
                <w:szCs w:val="20"/>
              </w:rPr>
            </w:pPr>
            <w:r w:rsidRPr="00A5639E">
              <w:rPr>
                <w:rFonts w:asciiTheme="minorEastAsia" w:hAnsiTheme="minorEastAsia" w:cs="ＭＳ ゴシック" w:hint="eastAsia"/>
                <w:color w:val="000000"/>
                <w:kern w:val="0"/>
                <w:sz w:val="20"/>
                <w:szCs w:val="20"/>
              </w:rPr>
              <w:t xml:space="preserve">　売上原価</w:t>
            </w:r>
          </w:p>
        </w:tc>
        <w:tc>
          <w:tcPr>
            <w:tcW w:w="957" w:type="dxa"/>
            <w:tcBorders>
              <w:top w:val="nil"/>
              <w:left w:val="nil"/>
              <w:bottom w:val="nil"/>
              <w:right w:val="nil"/>
            </w:tcBorders>
          </w:tcPr>
          <w:p w14:paraId="6161D3F8" w14:textId="77777777" w:rsidR="00A5639E" w:rsidRPr="00C74F0E" w:rsidRDefault="00A5639E">
            <w:pPr>
              <w:autoSpaceDE w:val="0"/>
              <w:autoSpaceDN w:val="0"/>
              <w:adjustRightInd w:val="0"/>
              <w:jc w:val="right"/>
              <w:rPr>
                <w:rFonts w:ascii="Century" w:eastAsia="ＭＳ ゴシック" w:hAnsi="Century" w:cs="Calibri"/>
                <w:color w:val="FF0000"/>
                <w:kern w:val="0"/>
                <w:sz w:val="20"/>
                <w:szCs w:val="20"/>
              </w:rPr>
            </w:pPr>
            <w:r w:rsidRPr="00C74F0E">
              <w:rPr>
                <w:rFonts w:ascii="Century" w:eastAsia="ＭＳ ゴシック" w:hAnsi="Century" w:cs="Calibri"/>
                <w:color w:val="FF0000"/>
                <w:kern w:val="0"/>
                <w:sz w:val="20"/>
                <w:szCs w:val="20"/>
              </w:rPr>
              <w:t>-152,182</w:t>
            </w:r>
          </w:p>
        </w:tc>
        <w:tc>
          <w:tcPr>
            <w:tcW w:w="976" w:type="dxa"/>
            <w:tcBorders>
              <w:top w:val="nil"/>
              <w:left w:val="nil"/>
              <w:bottom w:val="nil"/>
              <w:right w:val="nil"/>
            </w:tcBorders>
          </w:tcPr>
          <w:p w14:paraId="010DAA7D" w14:textId="77777777" w:rsidR="00A5639E" w:rsidRPr="00C74F0E" w:rsidRDefault="00A5639E">
            <w:pPr>
              <w:autoSpaceDE w:val="0"/>
              <w:autoSpaceDN w:val="0"/>
              <w:adjustRightInd w:val="0"/>
              <w:jc w:val="right"/>
              <w:rPr>
                <w:rFonts w:ascii="Century" w:eastAsia="ＭＳ ゴシック" w:hAnsi="Century" w:cs="Calibri"/>
                <w:color w:val="FF0000"/>
                <w:kern w:val="0"/>
                <w:sz w:val="20"/>
                <w:szCs w:val="20"/>
              </w:rPr>
            </w:pPr>
            <w:r w:rsidRPr="00C74F0E">
              <w:rPr>
                <w:rFonts w:ascii="Century" w:eastAsia="ＭＳ ゴシック" w:hAnsi="Century" w:cs="Calibri"/>
                <w:color w:val="FF0000"/>
                <w:kern w:val="0"/>
                <w:sz w:val="20"/>
                <w:szCs w:val="20"/>
              </w:rPr>
              <w:t>-156,168</w:t>
            </w:r>
          </w:p>
        </w:tc>
        <w:tc>
          <w:tcPr>
            <w:tcW w:w="992" w:type="dxa"/>
            <w:tcBorders>
              <w:top w:val="nil"/>
              <w:left w:val="nil"/>
              <w:bottom w:val="nil"/>
              <w:right w:val="nil"/>
            </w:tcBorders>
          </w:tcPr>
          <w:p w14:paraId="04522547" w14:textId="77777777" w:rsidR="00A5639E" w:rsidRPr="00C74F0E" w:rsidRDefault="00A5639E">
            <w:pPr>
              <w:autoSpaceDE w:val="0"/>
              <w:autoSpaceDN w:val="0"/>
              <w:adjustRightInd w:val="0"/>
              <w:jc w:val="right"/>
              <w:rPr>
                <w:rFonts w:ascii="Century" w:eastAsia="ＭＳ ゴシック" w:hAnsi="Century" w:cs="Calibri"/>
                <w:color w:val="FF0000"/>
                <w:kern w:val="0"/>
                <w:sz w:val="20"/>
                <w:szCs w:val="20"/>
              </w:rPr>
            </w:pPr>
            <w:r w:rsidRPr="00C74F0E">
              <w:rPr>
                <w:rFonts w:ascii="Century" w:eastAsia="ＭＳ ゴシック" w:hAnsi="Century" w:cs="Calibri"/>
                <w:color w:val="FF0000"/>
                <w:kern w:val="0"/>
                <w:sz w:val="20"/>
                <w:szCs w:val="20"/>
              </w:rPr>
              <w:t>-161,560</w:t>
            </w:r>
          </w:p>
        </w:tc>
        <w:tc>
          <w:tcPr>
            <w:tcW w:w="992" w:type="dxa"/>
            <w:tcBorders>
              <w:top w:val="nil"/>
              <w:left w:val="nil"/>
              <w:bottom w:val="nil"/>
              <w:right w:val="nil"/>
            </w:tcBorders>
          </w:tcPr>
          <w:p w14:paraId="5E6CBA2F" w14:textId="77777777" w:rsidR="00A5639E" w:rsidRPr="00C74F0E" w:rsidRDefault="00A5639E">
            <w:pPr>
              <w:autoSpaceDE w:val="0"/>
              <w:autoSpaceDN w:val="0"/>
              <w:adjustRightInd w:val="0"/>
              <w:jc w:val="right"/>
              <w:rPr>
                <w:rFonts w:ascii="Century" w:eastAsia="ＭＳ ゴシック" w:hAnsi="Century" w:cs="Calibri"/>
                <w:color w:val="FF0000"/>
                <w:kern w:val="0"/>
                <w:sz w:val="20"/>
                <w:szCs w:val="20"/>
              </w:rPr>
            </w:pPr>
            <w:r w:rsidRPr="00C74F0E">
              <w:rPr>
                <w:rFonts w:ascii="Century" w:eastAsia="ＭＳ ゴシック" w:hAnsi="Century" w:cs="Calibri"/>
                <w:color w:val="FF0000"/>
                <w:kern w:val="0"/>
                <w:sz w:val="20"/>
                <w:szCs w:val="20"/>
              </w:rPr>
              <w:t>-194,465</w:t>
            </w:r>
          </w:p>
        </w:tc>
        <w:tc>
          <w:tcPr>
            <w:tcW w:w="992" w:type="dxa"/>
            <w:tcBorders>
              <w:top w:val="nil"/>
              <w:left w:val="nil"/>
              <w:bottom w:val="nil"/>
              <w:right w:val="nil"/>
            </w:tcBorders>
          </w:tcPr>
          <w:p w14:paraId="0C2F748D" w14:textId="77777777" w:rsidR="00A5639E" w:rsidRPr="00C74F0E" w:rsidRDefault="00A5639E">
            <w:pPr>
              <w:autoSpaceDE w:val="0"/>
              <w:autoSpaceDN w:val="0"/>
              <w:adjustRightInd w:val="0"/>
              <w:jc w:val="right"/>
              <w:rPr>
                <w:rFonts w:ascii="Century" w:eastAsia="ＭＳ ゴシック" w:hAnsi="Century" w:cs="Calibri"/>
                <w:color w:val="FF0000"/>
                <w:kern w:val="0"/>
                <w:sz w:val="20"/>
                <w:szCs w:val="20"/>
              </w:rPr>
            </w:pPr>
            <w:r w:rsidRPr="00C74F0E">
              <w:rPr>
                <w:rFonts w:ascii="Century" w:eastAsia="ＭＳ ゴシック" w:hAnsi="Century" w:cs="Calibri"/>
                <w:color w:val="FF0000"/>
                <w:kern w:val="0"/>
                <w:sz w:val="20"/>
                <w:szCs w:val="20"/>
              </w:rPr>
              <w:t>-163,593</w:t>
            </w:r>
          </w:p>
        </w:tc>
        <w:tc>
          <w:tcPr>
            <w:tcW w:w="993" w:type="dxa"/>
            <w:tcBorders>
              <w:top w:val="nil"/>
              <w:left w:val="nil"/>
              <w:bottom w:val="nil"/>
              <w:right w:val="nil"/>
            </w:tcBorders>
          </w:tcPr>
          <w:p w14:paraId="139706CA" w14:textId="77777777" w:rsidR="00A5639E" w:rsidRPr="00C74F0E" w:rsidRDefault="00A5639E">
            <w:pPr>
              <w:autoSpaceDE w:val="0"/>
              <w:autoSpaceDN w:val="0"/>
              <w:adjustRightInd w:val="0"/>
              <w:jc w:val="right"/>
              <w:rPr>
                <w:rFonts w:ascii="Century" w:eastAsia="ＭＳ ゴシック" w:hAnsi="Century" w:cs="Calibri"/>
                <w:color w:val="FF0000"/>
                <w:kern w:val="0"/>
                <w:sz w:val="20"/>
                <w:szCs w:val="20"/>
              </w:rPr>
            </w:pPr>
            <w:r w:rsidRPr="00C74F0E">
              <w:rPr>
                <w:rFonts w:ascii="Century" w:eastAsia="ＭＳ ゴシック" w:hAnsi="Century" w:cs="Calibri"/>
                <w:color w:val="FF0000"/>
                <w:kern w:val="0"/>
                <w:sz w:val="20"/>
                <w:szCs w:val="20"/>
              </w:rPr>
              <w:t>-123,959</w:t>
            </w:r>
          </w:p>
        </w:tc>
      </w:tr>
      <w:tr w:rsidR="00A5639E" w14:paraId="52CE1CC5" w14:textId="77777777" w:rsidTr="00A5639E">
        <w:trPr>
          <w:trHeight w:val="316"/>
        </w:trPr>
        <w:tc>
          <w:tcPr>
            <w:tcW w:w="2492" w:type="dxa"/>
            <w:tcBorders>
              <w:top w:val="nil"/>
              <w:left w:val="nil"/>
              <w:bottom w:val="nil"/>
              <w:right w:val="nil"/>
            </w:tcBorders>
          </w:tcPr>
          <w:p w14:paraId="353CBBDD" w14:textId="77777777" w:rsidR="00A5639E" w:rsidRPr="00A5639E" w:rsidRDefault="00A5639E">
            <w:pPr>
              <w:autoSpaceDE w:val="0"/>
              <w:autoSpaceDN w:val="0"/>
              <w:adjustRightInd w:val="0"/>
              <w:jc w:val="left"/>
              <w:rPr>
                <w:rFonts w:asciiTheme="minorEastAsia" w:hAnsiTheme="minorEastAsia" w:cs="Calibri"/>
                <w:color w:val="000000"/>
                <w:kern w:val="0"/>
                <w:sz w:val="20"/>
                <w:szCs w:val="20"/>
              </w:rPr>
            </w:pPr>
            <w:r w:rsidRPr="00A5639E">
              <w:rPr>
                <w:rFonts w:asciiTheme="minorEastAsia" w:hAnsiTheme="minorEastAsia" w:cs="Calibri"/>
                <w:color w:val="000000"/>
                <w:kern w:val="0"/>
                <w:sz w:val="20"/>
                <w:szCs w:val="20"/>
              </w:rPr>
              <w:t>売上総利益</w:t>
            </w:r>
          </w:p>
        </w:tc>
        <w:tc>
          <w:tcPr>
            <w:tcW w:w="957" w:type="dxa"/>
            <w:tcBorders>
              <w:top w:val="nil"/>
              <w:left w:val="nil"/>
              <w:bottom w:val="nil"/>
              <w:right w:val="nil"/>
            </w:tcBorders>
          </w:tcPr>
          <w:p w14:paraId="75FFD537"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35,093</w:t>
            </w:r>
          </w:p>
        </w:tc>
        <w:tc>
          <w:tcPr>
            <w:tcW w:w="976" w:type="dxa"/>
            <w:tcBorders>
              <w:top w:val="nil"/>
              <w:left w:val="nil"/>
              <w:bottom w:val="nil"/>
              <w:right w:val="nil"/>
            </w:tcBorders>
          </w:tcPr>
          <w:p w14:paraId="72A38734"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34,395</w:t>
            </w:r>
          </w:p>
        </w:tc>
        <w:tc>
          <w:tcPr>
            <w:tcW w:w="992" w:type="dxa"/>
            <w:tcBorders>
              <w:top w:val="nil"/>
              <w:left w:val="nil"/>
              <w:bottom w:val="nil"/>
              <w:right w:val="nil"/>
            </w:tcBorders>
          </w:tcPr>
          <w:p w14:paraId="0686C936"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34,319</w:t>
            </w:r>
          </w:p>
        </w:tc>
        <w:tc>
          <w:tcPr>
            <w:tcW w:w="992" w:type="dxa"/>
            <w:tcBorders>
              <w:top w:val="nil"/>
              <w:left w:val="nil"/>
              <w:bottom w:val="nil"/>
              <w:right w:val="nil"/>
            </w:tcBorders>
          </w:tcPr>
          <w:p w14:paraId="7BE1BEB5"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40,327</w:t>
            </w:r>
          </w:p>
        </w:tc>
        <w:tc>
          <w:tcPr>
            <w:tcW w:w="992" w:type="dxa"/>
            <w:tcBorders>
              <w:top w:val="nil"/>
              <w:left w:val="nil"/>
              <w:bottom w:val="nil"/>
              <w:right w:val="nil"/>
            </w:tcBorders>
          </w:tcPr>
          <w:p w14:paraId="1E5E1866"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36,025</w:t>
            </w:r>
          </w:p>
        </w:tc>
        <w:tc>
          <w:tcPr>
            <w:tcW w:w="993" w:type="dxa"/>
            <w:tcBorders>
              <w:top w:val="nil"/>
              <w:left w:val="nil"/>
              <w:bottom w:val="nil"/>
              <w:right w:val="nil"/>
            </w:tcBorders>
          </w:tcPr>
          <w:p w14:paraId="1ADAB13C"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20,775</w:t>
            </w:r>
          </w:p>
        </w:tc>
      </w:tr>
      <w:tr w:rsidR="00A5639E" w14:paraId="72C2C211" w14:textId="77777777" w:rsidTr="00A5639E">
        <w:trPr>
          <w:trHeight w:val="316"/>
        </w:trPr>
        <w:tc>
          <w:tcPr>
            <w:tcW w:w="2492" w:type="dxa"/>
            <w:tcBorders>
              <w:top w:val="nil"/>
              <w:left w:val="nil"/>
              <w:bottom w:val="nil"/>
              <w:right w:val="nil"/>
            </w:tcBorders>
          </w:tcPr>
          <w:p w14:paraId="48328077" w14:textId="77777777" w:rsidR="00A5639E" w:rsidRPr="00A5639E" w:rsidRDefault="00A5639E">
            <w:pPr>
              <w:autoSpaceDE w:val="0"/>
              <w:autoSpaceDN w:val="0"/>
              <w:adjustRightInd w:val="0"/>
              <w:jc w:val="left"/>
              <w:rPr>
                <w:rFonts w:asciiTheme="minorEastAsia" w:hAnsiTheme="minorEastAsia" w:cs="ＭＳ ゴシック"/>
                <w:color w:val="000000"/>
                <w:kern w:val="0"/>
                <w:sz w:val="20"/>
                <w:szCs w:val="20"/>
              </w:rPr>
            </w:pPr>
            <w:r w:rsidRPr="00A5639E">
              <w:rPr>
                <w:rFonts w:asciiTheme="minorEastAsia" w:hAnsiTheme="minorEastAsia" w:cs="ＭＳ ゴシック" w:hint="eastAsia"/>
                <w:color w:val="000000"/>
                <w:kern w:val="0"/>
                <w:sz w:val="20"/>
                <w:szCs w:val="20"/>
              </w:rPr>
              <w:t xml:space="preserve">　販管費</w:t>
            </w:r>
          </w:p>
        </w:tc>
        <w:tc>
          <w:tcPr>
            <w:tcW w:w="957" w:type="dxa"/>
            <w:tcBorders>
              <w:top w:val="nil"/>
              <w:left w:val="nil"/>
              <w:bottom w:val="nil"/>
              <w:right w:val="nil"/>
            </w:tcBorders>
          </w:tcPr>
          <w:p w14:paraId="54773955" w14:textId="77777777" w:rsidR="00A5639E" w:rsidRPr="00C74F0E" w:rsidRDefault="00A5639E">
            <w:pPr>
              <w:autoSpaceDE w:val="0"/>
              <w:autoSpaceDN w:val="0"/>
              <w:adjustRightInd w:val="0"/>
              <w:jc w:val="right"/>
              <w:rPr>
                <w:rFonts w:ascii="Century" w:eastAsia="ＭＳ ゴシック" w:hAnsi="Century" w:cs="Calibri"/>
                <w:color w:val="FF0000"/>
                <w:kern w:val="0"/>
                <w:sz w:val="20"/>
                <w:szCs w:val="20"/>
              </w:rPr>
            </w:pPr>
            <w:r w:rsidRPr="00C74F0E">
              <w:rPr>
                <w:rFonts w:ascii="Century" w:eastAsia="ＭＳ ゴシック" w:hAnsi="Century" w:cs="Calibri"/>
                <w:color w:val="FF0000"/>
                <w:kern w:val="0"/>
                <w:sz w:val="20"/>
                <w:szCs w:val="20"/>
              </w:rPr>
              <w:t>-29,111</w:t>
            </w:r>
          </w:p>
        </w:tc>
        <w:tc>
          <w:tcPr>
            <w:tcW w:w="976" w:type="dxa"/>
            <w:tcBorders>
              <w:top w:val="nil"/>
              <w:left w:val="nil"/>
              <w:bottom w:val="nil"/>
              <w:right w:val="nil"/>
            </w:tcBorders>
          </w:tcPr>
          <w:p w14:paraId="7CDF657D" w14:textId="77777777" w:rsidR="00A5639E" w:rsidRPr="00C74F0E" w:rsidRDefault="00A5639E">
            <w:pPr>
              <w:autoSpaceDE w:val="0"/>
              <w:autoSpaceDN w:val="0"/>
              <w:adjustRightInd w:val="0"/>
              <w:jc w:val="right"/>
              <w:rPr>
                <w:rFonts w:ascii="Century" w:eastAsia="ＭＳ ゴシック" w:hAnsi="Century" w:cs="Calibri"/>
                <w:color w:val="FF0000"/>
                <w:kern w:val="0"/>
                <w:sz w:val="20"/>
                <w:szCs w:val="20"/>
              </w:rPr>
            </w:pPr>
            <w:r w:rsidRPr="00C74F0E">
              <w:rPr>
                <w:rFonts w:ascii="Century" w:eastAsia="ＭＳ ゴシック" w:hAnsi="Century" w:cs="Calibri"/>
                <w:color w:val="FF0000"/>
                <w:kern w:val="0"/>
                <w:sz w:val="20"/>
                <w:szCs w:val="20"/>
              </w:rPr>
              <w:t>-31,398</w:t>
            </w:r>
          </w:p>
        </w:tc>
        <w:tc>
          <w:tcPr>
            <w:tcW w:w="992" w:type="dxa"/>
            <w:tcBorders>
              <w:top w:val="nil"/>
              <w:left w:val="nil"/>
              <w:bottom w:val="nil"/>
              <w:right w:val="nil"/>
            </w:tcBorders>
          </w:tcPr>
          <w:p w14:paraId="21457708" w14:textId="77777777" w:rsidR="00A5639E" w:rsidRPr="00C74F0E" w:rsidRDefault="00A5639E">
            <w:pPr>
              <w:autoSpaceDE w:val="0"/>
              <w:autoSpaceDN w:val="0"/>
              <w:adjustRightInd w:val="0"/>
              <w:jc w:val="right"/>
              <w:rPr>
                <w:rFonts w:ascii="Century" w:eastAsia="ＭＳ ゴシック" w:hAnsi="Century" w:cs="Calibri"/>
                <w:color w:val="FF0000"/>
                <w:kern w:val="0"/>
                <w:sz w:val="20"/>
                <w:szCs w:val="20"/>
              </w:rPr>
            </w:pPr>
            <w:r w:rsidRPr="00C74F0E">
              <w:rPr>
                <w:rFonts w:ascii="Century" w:eastAsia="ＭＳ ゴシック" w:hAnsi="Century" w:cs="Calibri"/>
                <w:color w:val="FF0000"/>
                <w:kern w:val="0"/>
                <w:sz w:val="20"/>
                <w:szCs w:val="20"/>
              </w:rPr>
              <w:t>-31,949</w:t>
            </w:r>
          </w:p>
        </w:tc>
        <w:tc>
          <w:tcPr>
            <w:tcW w:w="992" w:type="dxa"/>
            <w:tcBorders>
              <w:top w:val="nil"/>
              <w:left w:val="nil"/>
              <w:bottom w:val="nil"/>
              <w:right w:val="nil"/>
            </w:tcBorders>
          </w:tcPr>
          <w:p w14:paraId="00F422E2" w14:textId="77777777" w:rsidR="00A5639E" w:rsidRPr="00C74F0E" w:rsidRDefault="00A5639E">
            <w:pPr>
              <w:autoSpaceDE w:val="0"/>
              <w:autoSpaceDN w:val="0"/>
              <w:adjustRightInd w:val="0"/>
              <w:jc w:val="right"/>
              <w:rPr>
                <w:rFonts w:ascii="Century" w:eastAsia="ＭＳ ゴシック" w:hAnsi="Century" w:cs="Calibri"/>
                <w:color w:val="FF0000"/>
                <w:kern w:val="0"/>
                <w:sz w:val="20"/>
                <w:szCs w:val="20"/>
              </w:rPr>
            </w:pPr>
            <w:r w:rsidRPr="00C74F0E">
              <w:rPr>
                <w:rFonts w:ascii="Century" w:eastAsia="ＭＳ ゴシック" w:hAnsi="Century" w:cs="Calibri"/>
                <w:color w:val="FF0000"/>
                <w:kern w:val="0"/>
                <w:sz w:val="20"/>
                <w:szCs w:val="20"/>
              </w:rPr>
              <w:t>-34,136</w:t>
            </w:r>
          </w:p>
        </w:tc>
        <w:tc>
          <w:tcPr>
            <w:tcW w:w="992" w:type="dxa"/>
            <w:tcBorders>
              <w:top w:val="nil"/>
              <w:left w:val="nil"/>
              <w:bottom w:val="nil"/>
              <w:right w:val="nil"/>
            </w:tcBorders>
          </w:tcPr>
          <w:p w14:paraId="30EAFBB0" w14:textId="77777777" w:rsidR="00A5639E" w:rsidRPr="00C74F0E" w:rsidRDefault="00A5639E">
            <w:pPr>
              <w:autoSpaceDE w:val="0"/>
              <w:autoSpaceDN w:val="0"/>
              <w:adjustRightInd w:val="0"/>
              <w:jc w:val="right"/>
              <w:rPr>
                <w:rFonts w:ascii="Century" w:eastAsia="ＭＳ ゴシック" w:hAnsi="Century" w:cs="Calibri"/>
                <w:color w:val="FF0000"/>
                <w:kern w:val="0"/>
                <w:sz w:val="20"/>
                <w:szCs w:val="20"/>
              </w:rPr>
            </w:pPr>
            <w:r w:rsidRPr="00C74F0E">
              <w:rPr>
                <w:rFonts w:ascii="Century" w:eastAsia="ＭＳ ゴシック" w:hAnsi="Century" w:cs="Calibri"/>
                <w:color w:val="FF0000"/>
                <w:kern w:val="0"/>
                <w:sz w:val="20"/>
                <w:szCs w:val="20"/>
              </w:rPr>
              <w:t>-32,233</w:t>
            </w:r>
          </w:p>
        </w:tc>
        <w:tc>
          <w:tcPr>
            <w:tcW w:w="993" w:type="dxa"/>
            <w:tcBorders>
              <w:top w:val="nil"/>
              <w:left w:val="nil"/>
              <w:bottom w:val="nil"/>
              <w:right w:val="nil"/>
            </w:tcBorders>
          </w:tcPr>
          <w:p w14:paraId="41C662A2" w14:textId="77777777" w:rsidR="00A5639E" w:rsidRPr="00C74F0E" w:rsidRDefault="00A5639E">
            <w:pPr>
              <w:autoSpaceDE w:val="0"/>
              <w:autoSpaceDN w:val="0"/>
              <w:adjustRightInd w:val="0"/>
              <w:jc w:val="right"/>
              <w:rPr>
                <w:rFonts w:ascii="Century" w:eastAsia="ＭＳ ゴシック" w:hAnsi="Century" w:cs="Calibri"/>
                <w:color w:val="FF0000"/>
                <w:kern w:val="0"/>
                <w:sz w:val="20"/>
                <w:szCs w:val="20"/>
              </w:rPr>
            </w:pPr>
            <w:r w:rsidRPr="00C74F0E">
              <w:rPr>
                <w:rFonts w:ascii="Century" w:eastAsia="ＭＳ ゴシック" w:hAnsi="Century" w:cs="Calibri"/>
                <w:color w:val="FF0000"/>
                <w:kern w:val="0"/>
                <w:sz w:val="20"/>
                <w:szCs w:val="20"/>
              </w:rPr>
              <w:t>-26,037</w:t>
            </w:r>
          </w:p>
        </w:tc>
      </w:tr>
      <w:tr w:rsidR="00A5639E" w14:paraId="2EF09AAD" w14:textId="77777777" w:rsidTr="00A5639E">
        <w:trPr>
          <w:trHeight w:val="316"/>
        </w:trPr>
        <w:tc>
          <w:tcPr>
            <w:tcW w:w="2492" w:type="dxa"/>
            <w:tcBorders>
              <w:top w:val="nil"/>
              <w:left w:val="nil"/>
              <w:bottom w:val="nil"/>
              <w:right w:val="nil"/>
            </w:tcBorders>
          </w:tcPr>
          <w:p w14:paraId="349C0D33" w14:textId="77777777" w:rsidR="00A5639E" w:rsidRPr="00A5639E" w:rsidRDefault="00A5639E">
            <w:pPr>
              <w:autoSpaceDE w:val="0"/>
              <w:autoSpaceDN w:val="0"/>
              <w:adjustRightInd w:val="0"/>
              <w:jc w:val="left"/>
              <w:rPr>
                <w:rFonts w:asciiTheme="minorEastAsia" w:hAnsiTheme="minorEastAsia" w:cs="Calibri"/>
                <w:color w:val="000000"/>
                <w:kern w:val="0"/>
                <w:sz w:val="20"/>
                <w:szCs w:val="20"/>
              </w:rPr>
            </w:pPr>
            <w:r w:rsidRPr="00A5639E">
              <w:rPr>
                <w:rFonts w:asciiTheme="minorEastAsia" w:hAnsiTheme="minorEastAsia" w:cs="Calibri"/>
                <w:color w:val="000000"/>
                <w:kern w:val="0"/>
                <w:sz w:val="20"/>
                <w:szCs w:val="20"/>
              </w:rPr>
              <w:t>営業利益</w:t>
            </w:r>
          </w:p>
        </w:tc>
        <w:tc>
          <w:tcPr>
            <w:tcW w:w="957" w:type="dxa"/>
            <w:tcBorders>
              <w:top w:val="nil"/>
              <w:left w:val="nil"/>
              <w:bottom w:val="nil"/>
              <w:right w:val="nil"/>
            </w:tcBorders>
          </w:tcPr>
          <w:p w14:paraId="61B31D4A"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5,981</w:t>
            </w:r>
          </w:p>
        </w:tc>
        <w:tc>
          <w:tcPr>
            <w:tcW w:w="976" w:type="dxa"/>
            <w:tcBorders>
              <w:top w:val="nil"/>
              <w:left w:val="nil"/>
              <w:bottom w:val="nil"/>
              <w:right w:val="nil"/>
            </w:tcBorders>
          </w:tcPr>
          <w:p w14:paraId="2F778FD4"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2,998</w:t>
            </w:r>
          </w:p>
        </w:tc>
        <w:tc>
          <w:tcPr>
            <w:tcW w:w="992" w:type="dxa"/>
            <w:tcBorders>
              <w:top w:val="nil"/>
              <w:left w:val="nil"/>
              <w:bottom w:val="nil"/>
              <w:right w:val="nil"/>
            </w:tcBorders>
          </w:tcPr>
          <w:p w14:paraId="18D579BB"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2,369</w:t>
            </w:r>
          </w:p>
        </w:tc>
        <w:tc>
          <w:tcPr>
            <w:tcW w:w="992" w:type="dxa"/>
            <w:tcBorders>
              <w:top w:val="nil"/>
              <w:left w:val="nil"/>
              <w:bottom w:val="nil"/>
              <w:right w:val="nil"/>
            </w:tcBorders>
          </w:tcPr>
          <w:p w14:paraId="50ABB9DF"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6,192</w:t>
            </w:r>
          </w:p>
        </w:tc>
        <w:tc>
          <w:tcPr>
            <w:tcW w:w="992" w:type="dxa"/>
            <w:tcBorders>
              <w:top w:val="nil"/>
              <w:left w:val="nil"/>
              <w:bottom w:val="nil"/>
              <w:right w:val="nil"/>
            </w:tcBorders>
          </w:tcPr>
          <w:p w14:paraId="67069007"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3,791</w:t>
            </w:r>
          </w:p>
        </w:tc>
        <w:tc>
          <w:tcPr>
            <w:tcW w:w="993" w:type="dxa"/>
            <w:tcBorders>
              <w:top w:val="nil"/>
              <w:left w:val="nil"/>
              <w:bottom w:val="nil"/>
              <w:right w:val="nil"/>
            </w:tcBorders>
          </w:tcPr>
          <w:p w14:paraId="01D04B97"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FF0000"/>
                <w:kern w:val="0"/>
                <w:sz w:val="20"/>
                <w:szCs w:val="20"/>
              </w:rPr>
              <w:t>-5,260</w:t>
            </w:r>
          </w:p>
        </w:tc>
      </w:tr>
      <w:tr w:rsidR="00A5639E" w14:paraId="60A68C7C" w14:textId="77777777" w:rsidTr="00A5639E">
        <w:trPr>
          <w:trHeight w:val="316"/>
        </w:trPr>
        <w:tc>
          <w:tcPr>
            <w:tcW w:w="2492" w:type="dxa"/>
            <w:tcBorders>
              <w:top w:val="nil"/>
              <w:left w:val="nil"/>
              <w:bottom w:val="nil"/>
              <w:right w:val="nil"/>
            </w:tcBorders>
          </w:tcPr>
          <w:p w14:paraId="5F6AA8E1" w14:textId="77777777" w:rsidR="00A5639E" w:rsidRPr="00A5639E" w:rsidRDefault="00A5639E">
            <w:pPr>
              <w:autoSpaceDE w:val="0"/>
              <w:autoSpaceDN w:val="0"/>
              <w:adjustRightInd w:val="0"/>
              <w:jc w:val="left"/>
              <w:rPr>
                <w:rFonts w:asciiTheme="minorEastAsia" w:hAnsiTheme="minorEastAsia" w:cs="Calibri"/>
                <w:color w:val="000000"/>
                <w:kern w:val="0"/>
                <w:sz w:val="20"/>
                <w:szCs w:val="20"/>
              </w:rPr>
            </w:pPr>
            <w:r w:rsidRPr="00A5639E">
              <w:rPr>
                <w:rFonts w:asciiTheme="minorEastAsia" w:hAnsiTheme="minorEastAsia" w:cs="Calibri"/>
                <w:color w:val="000000"/>
                <w:kern w:val="0"/>
                <w:sz w:val="20"/>
                <w:szCs w:val="20"/>
              </w:rPr>
              <w:t>営業外収益</w:t>
            </w:r>
          </w:p>
        </w:tc>
        <w:tc>
          <w:tcPr>
            <w:tcW w:w="957" w:type="dxa"/>
            <w:tcBorders>
              <w:top w:val="nil"/>
              <w:left w:val="nil"/>
              <w:bottom w:val="nil"/>
              <w:right w:val="nil"/>
            </w:tcBorders>
          </w:tcPr>
          <w:p w14:paraId="19DD9BE7"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FF0000"/>
                <w:kern w:val="0"/>
                <w:sz w:val="20"/>
                <w:szCs w:val="20"/>
              </w:rPr>
              <w:t>-782</w:t>
            </w:r>
          </w:p>
        </w:tc>
        <w:tc>
          <w:tcPr>
            <w:tcW w:w="976" w:type="dxa"/>
            <w:tcBorders>
              <w:top w:val="nil"/>
              <w:left w:val="nil"/>
              <w:bottom w:val="nil"/>
              <w:right w:val="nil"/>
            </w:tcBorders>
          </w:tcPr>
          <w:p w14:paraId="65B2B06D"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677</w:t>
            </w:r>
          </w:p>
        </w:tc>
        <w:tc>
          <w:tcPr>
            <w:tcW w:w="992" w:type="dxa"/>
            <w:tcBorders>
              <w:top w:val="nil"/>
              <w:left w:val="nil"/>
              <w:bottom w:val="nil"/>
              <w:right w:val="nil"/>
            </w:tcBorders>
          </w:tcPr>
          <w:p w14:paraId="132738B1"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25</w:t>
            </w:r>
          </w:p>
        </w:tc>
        <w:tc>
          <w:tcPr>
            <w:tcW w:w="992" w:type="dxa"/>
            <w:tcBorders>
              <w:top w:val="nil"/>
              <w:left w:val="nil"/>
              <w:bottom w:val="nil"/>
              <w:right w:val="nil"/>
            </w:tcBorders>
          </w:tcPr>
          <w:p w14:paraId="62B691C6"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FF0000"/>
                <w:kern w:val="0"/>
                <w:sz w:val="20"/>
                <w:szCs w:val="20"/>
              </w:rPr>
              <w:t>-371</w:t>
            </w:r>
          </w:p>
        </w:tc>
        <w:tc>
          <w:tcPr>
            <w:tcW w:w="992" w:type="dxa"/>
            <w:tcBorders>
              <w:top w:val="nil"/>
              <w:left w:val="nil"/>
              <w:bottom w:val="nil"/>
              <w:right w:val="nil"/>
            </w:tcBorders>
          </w:tcPr>
          <w:p w14:paraId="110350F8"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497</w:t>
            </w:r>
          </w:p>
        </w:tc>
        <w:tc>
          <w:tcPr>
            <w:tcW w:w="993" w:type="dxa"/>
            <w:tcBorders>
              <w:top w:val="nil"/>
              <w:left w:val="nil"/>
              <w:bottom w:val="nil"/>
              <w:right w:val="nil"/>
            </w:tcBorders>
          </w:tcPr>
          <w:p w14:paraId="4745ED1F"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212</w:t>
            </w:r>
          </w:p>
        </w:tc>
      </w:tr>
      <w:tr w:rsidR="00A5639E" w14:paraId="28AAE780" w14:textId="77777777" w:rsidTr="00A5639E">
        <w:trPr>
          <w:trHeight w:val="316"/>
        </w:trPr>
        <w:tc>
          <w:tcPr>
            <w:tcW w:w="2492" w:type="dxa"/>
            <w:tcBorders>
              <w:top w:val="nil"/>
              <w:left w:val="nil"/>
              <w:bottom w:val="nil"/>
              <w:right w:val="nil"/>
            </w:tcBorders>
          </w:tcPr>
          <w:p w14:paraId="70686329" w14:textId="77777777" w:rsidR="00A5639E" w:rsidRPr="00A5639E" w:rsidRDefault="00A5639E">
            <w:pPr>
              <w:autoSpaceDE w:val="0"/>
              <w:autoSpaceDN w:val="0"/>
              <w:adjustRightInd w:val="0"/>
              <w:jc w:val="left"/>
              <w:rPr>
                <w:rFonts w:asciiTheme="minorEastAsia" w:hAnsiTheme="minorEastAsia" w:cs="Calibri"/>
                <w:color w:val="000000"/>
                <w:kern w:val="0"/>
                <w:sz w:val="20"/>
                <w:szCs w:val="20"/>
              </w:rPr>
            </w:pPr>
            <w:r w:rsidRPr="00A5639E">
              <w:rPr>
                <w:rFonts w:asciiTheme="minorEastAsia" w:hAnsiTheme="minorEastAsia" w:cs="Calibri"/>
                <w:color w:val="000000"/>
                <w:kern w:val="0"/>
                <w:sz w:val="20"/>
                <w:szCs w:val="20"/>
              </w:rPr>
              <w:t>経常利益</w:t>
            </w:r>
          </w:p>
        </w:tc>
        <w:tc>
          <w:tcPr>
            <w:tcW w:w="957" w:type="dxa"/>
            <w:tcBorders>
              <w:top w:val="nil"/>
              <w:left w:val="nil"/>
              <w:bottom w:val="nil"/>
              <w:right w:val="nil"/>
            </w:tcBorders>
          </w:tcPr>
          <w:p w14:paraId="6FB10E3C"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5,199</w:t>
            </w:r>
          </w:p>
        </w:tc>
        <w:tc>
          <w:tcPr>
            <w:tcW w:w="976" w:type="dxa"/>
            <w:tcBorders>
              <w:top w:val="nil"/>
              <w:left w:val="nil"/>
              <w:bottom w:val="nil"/>
              <w:right w:val="nil"/>
            </w:tcBorders>
          </w:tcPr>
          <w:p w14:paraId="767BF4D3"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3,675</w:t>
            </w:r>
          </w:p>
        </w:tc>
        <w:tc>
          <w:tcPr>
            <w:tcW w:w="992" w:type="dxa"/>
            <w:tcBorders>
              <w:top w:val="nil"/>
              <w:left w:val="nil"/>
              <w:bottom w:val="nil"/>
              <w:right w:val="nil"/>
            </w:tcBorders>
          </w:tcPr>
          <w:p w14:paraId="0C6C4B8D"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2,394</w:t>
            </w:r>
          </w:p>
        </w:tc>
        <w:tc>
          <w:tcPr>
            <w:tcW w:w="992" w:type="dxa"/>
            <w:tcBorders>
              <w:top w:val="nil"/>
              <w:left w:val="nil"/>
              <w:bottom w:val="nil"/>
              <w:right w:val="nil"/>
            </w:tcBorders>
          </w:tcPr>
          <w:p w14:paraId="319B0E4E"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5,821</w:t>
            </w:r>
          </w:p>
        </w:tc>
        <w:tc>
          <w:tcPr>
            <w:tcW w:w="992" w:type="dxa"/>
            <w:tcBorders>
              <w:top w:val="nil"/>
              <w:left w:val="nil"/>
              <w:bottom w:val="nil"/>
              <w:right w:val="nil"/>
            </w:tcBorders>
          </w:tcPr>
          <w:p w14:paraId="24809503"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4,288</w:t>
            </w:r>
          </w:p>
        </w:tc>
        <w:tc>
          <w:tcPr>
            <w:tcW w:w="993" w:type="dxa"/>
            <w:tcBorders>
              <w:top w:val="nil"/>
              <w:left w:val="nil"/>
              <w:bottom w:val="nil"/>
              <w:right w:val="nil"/>
            </w:tcBorders>
          </w:tcPr>
          <w:p w14:paraId="73E16349"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FF0000"/>
                <w:kern w:val="0"/>
                <w:sz w:val="20"/>
                <w:szCs w:val="20"/>
              </w:rPr>
              <w:t>-5,048</w:t>
            </w:r>
          </w:p>
        </w:tc>
      </w:tr>
      <w:tr w:rsidR="00A5639E" w14:paraId="6244E660" w14:textId="77777777" w:rsidTr="00A5639E">
        <w:trPr>
          <w:trHeight w:val="316"/>
        </w:trPr>
        <w:tc>
          <w:tcPr>
            <w:tcW w:w="2492" w:type="dxa"/>
            <w:tcBorders>
              <w:top w:val="nil"/>
              <w:left w:val="nil"/>
              <w:bottom w:val="nil"/>
              <w:right w:val="nil"/>
            </w:tcBorders>
          </w:tcPr>
          <w:p w14:paraId="3F7FD644" w14:textId="77777777" w:rsidR="00A5639E" w:rsidRPr="00A5639E" w:rsidRDefault="00A5639E">
            <w:pPr>
              <w:autoSpaceDE w:val="0"/>
              <w:autoSpaceDN w:val="0"/>
              <w:adjustRightInd w:val="0"/>
              <w:jc w:val="left"/>
              <w:rPr>
                <w:rFonts w:asciiTheme="minorEastAsia" w:hAnsiTheme="minorEastAsia" w:cs="ＭＳ ゴシック"/>
                <w:color w:val="000000"/>
                <w:kern w:val="0"/>
                <w:sz w:val="20"/>
                <w:szCs w:val="20"/>
              </w:rPr>
            </w:pPr>
            <w:r w:rsidRPr="00A5639E">
              <w:rPr>
                <w:rFonts w:asciiTheme="minorEastAsia" w:hAnsiTheme="minorEastAsia" w:cs="ＭＳ ゴシック" w:hint="eastAsia"/>
                <w:color w:val="000000"/>
                <w:kern w:val="0"/>
                <w:sz w:val="20"/>
                <w:szCs w:val="20"/>
              </w:rPr>
              <w:t xml:space="preserve">　特別損失</w:t>
            </w:r>
          </w:p>
        </w:tc>
        <w:tc>
          <w:tcPr>
            <w:tcW w:w="957" w:type="dxa"/>
            <w:tcBorders>
              <w:top w:val="nil"/>
              <w:left w:val="nil"/>
              <w:bottom w:val="nil"/>
              <w:right w:val="nil"/>
            </w:tcBorders>
          </w:tcPr>
          <w:p w14:paraId="264BD475"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0</w:t>
            </w:r>
          </w:p>
        </w:tc>
        <w:tc>
          <w:tcPr>
            <w:tcW w:w="976" w:type="dxa"/>
            <w:tcBorders>
              <w:top w:val="nil"/>
              <w:left w:val="nil"/>
              <w:bottom w:val="nil"/>
              <w:right w:val="nil"/>
            </w:tcBorders>
          </w:tcPr>
          <w:p w14:paraId="4622599B"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0</w:t>
            </w:r>
          </w:p>
        </w:tc>
        <w:tc>
          <w:tcPr>
            <w:tcW w:w="992" w:type="dxa"/>
            <w:tcBorders>
              <w:top w:val="nil"/>
              <w:left w:val="nil"/>
              <w:bottom w:val="nil"/>
              <w:right w:val="nil"/>
            </w:tcBorders>
          </w:tcPr>
          <w:p w14:paraId="2ED465A1"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0</w:t>
            </w:r>
          </w:p>
        </w:tc>
        <w:tc>
          <w:tcPr>
            <w:tcW w:w="992" w:type="dxa"/>
            <w:tcBorders>
              <w:top w:val="nil"/>
              <w:left w:val="nil"/>
              <w:bottom w:val="nil"/>
              <w:right w:val="nil"/>
            </w:tcBorders>
          </w:tcPr>
          <w:p w14:paraId="254B8E8F"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877</w:t>
            </w:r>
          </w:p>
        </w:tc>
        <w:tc>
          <w:tcPr>
            <w:tcW w:w="992" w:type="dxa"/>
            <w:tcBorders>
              <w:top w:val="nil"/>
              <w:left w:val="nil"/>
              <w:bottom w:val="nil"/>
              <w:right w:val="nil"/>
            </w:tcBorders>
          </w:tcPr>
          <w:p w14:paraId="5EA8B8D9"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249</w:t>
            </w:r>
          </w:p>
        </w:tc>
        <w:tc>
          <w:tcPr>
            <w:tcW w:w="993" w:type="dxa"/>
            <w:tcBorders>
              <w:top w:val="nil"/>
              <w:left w:val="nil"/>
              <w:bottom w:val="nil"/>
              <w:right w:val="nil"/>
            </w:tcBorders>
          </w:tcPr>
          <w:p w14:paraId="09C83FD1"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3,802</w:t>
            </w:r>
          </w:p>
        </w:tc>
      </w:tr>
      <w:tr w:rsidR="00A5639E" w14:paraId="12805868" w14:textId="77777777" w:rsidTr="00A5639E">
        <w:trPr>
          <w:trHeight w:val="316"/>
        </w:trPr>
        <w:tc>
          <w:tcPr>
            <w:tcW w:w="2492" w:type="dxa"/>
            <w:tcBorders>
              <w:top w:val="nil"/>
              <w:left w:val="nil"/>
              <w:bottom w:val="nil"/>
              <w:right w:val="nil"/>
            </w:tcBorders>
          </w:tcPr>
          <w:p w14:paraId="0846EC96" w14:textId="77777777" w:rsidR="00A5639E" w:rsidRPr="00A5639E" w:rsidRDefault="00A5639E">
            <w:pPr>
              <w:autoSpaceDE w:val="0"/>
              <w:autoSpaceDN w:val="0"/>
              <w:adjustRightInd w:val="0"/>
              <w:jc w:val="left"/>
              <w:rPr>
                <w:rFonts w:asciiTheme="minorEastAsia" w:hAnsiTheme="minorEastAsia" w:cs="Arial"/>
                <w:color w:val="000000"/>
                <w:kern w:val="0"/>
                <w:sz w:val="20"/>
                <w:szCs w:val="20"/>
              </w:rPr>
            </w:pPr>
            <w:r w:rsidRPr="00A5639E">
              <w:rPr>
                <w:rFonts w:asciiTheme="minorEastAsia" w:hAnsiTheme="minorEastAsia" w:cs="Arial"/>
                <w:color w:val="000000"/>
                <w:kern w:val="0"/>
                <w:sz w:val="20"/>
                <w:szCs w:val="20"/>
              </w:rPr>
              <w:t>税引前利益</w:t>
            </w:r>
          </w:p>
        </w:tc>
        <w:tc>
          <w:tcPr>
            <w:tcW w:w="957" w:type="dxa"/>
            <w:tcBorders>
              <w:top w:val="nil"/>
              <w:left w:val="nil"/>
              <w:bottom w:val="nil"/>
              <w:right w:val="nil"/>
            </w:tcBorders>
          </w:tcPr>
          <w:p w14:paraId="23EEE5B3"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5,199</w:t>
            </w:r>
          </w:p>
        </w:tc>
        <w:tc>
          <w:tcPr>
            <w:tcW w:w="976" w:type="dxa"/>
            <w:tcBorders>
              <w:top w:val="nil"/>
              <w:left w:val="nil"/>
              <w:bottom w:val="nil"/>
              <w:right w:val="nil"/>
            </w:tcBorders>
          </w:tcPr>
          <w:p w14:paraId="1EEEC824"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4,188</w:t>
            </w:r>
          </w:p>
        </w:tc>
        <w:tc>
          <w:tcPr>
            <w:tcW w:w="992" w:type="dxa"/>
            <w:tcBorders>
              <w:top w:val="nil"/>
              <w:left w:val="nil"/>
              <w:bottom w:val="nil"/>
              <w:right w:val="nil"/>
            </w:tcBorders>
          </w:tcPr>
          <w:p w14:paraId="4980C4D3"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2,954</w:t>
            </w:r>
          </w:p>
        </w:tc>
        <w:tc>
          <w:tcPr>
            <w:tcW w:w="992" w:type="dxa"/>
            <w:tcBorders>
              <w:top w:val="nil"/>
              <w:left w:val="nil"/>
              <w:bottom w:val="nil"/>
              <w:right w:val="nil"/>
            </w:tcBorders>
          </w:tcPr>
          <w:p w14:paraId="6C0BB1E2"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8,011</w:t>
            </w:r>
          </w:p>
        </w:tc>
        <w:tc>
          <w:tcPr>
            <w:tcW w:w="992" w:type="dxa"/>
            <w:tcBorders>
              <w:top w:val="nil"/>
              <w:left w:val="nil"/>
              <w:bottom w:val="nil"/>
              <w:right w:val="nil"/>
            </w:tcBorders>
          </w:tcPr>
          <w:p w14:paraId="17B42623"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4,551</w:t>
            </w:r>
          </w:p>
        </w:tc>
        <w:tc>
          <w:tcPr>
            <w:tcW w:w="993" w:type="dxa"/>
            <w:tcBorders>
              <w:top w:val="nil"/>
              <w:left w:val="nil"/>
              <w:bottom w:val="nil"/>
              <w:right w:val="nil"/>
            </w:tcBorders>
          </w:tcPr>
          <w:p w14:paraId="7527CA14" w14:textId="77777777" w:rsidR="00A5639E" w:rsidRPr="00C74F0E" w:rsidRDefault="00A5639E">
            <w:pPr>
              <w:autoSpaceDE w:val="0"/>
              <w:autoSpaceDN w:val="0"/>
              <w:adjustRightInd w:val="0"/>
              <w:jc w:val="right"/>
              <w:rPr>
                <w:rFonts w:ascii="Century" w:eastAsia="ＭＳ ゴシック" w:hAnsi="Century" w:cs="Calibri"/>
                <w:color w:val="FF0000"/>
                <w:kern w:val="0"/>
                <w:sz w:val="20"/>
                <w:szCs w:val="20"/>
              </w:rPr>
            </w:pPr>
            <w:r w:rsidRPr="00C74F0E">
              <w:rPr>
                <w:rFonts w:ascii="Century" w:eastAsia="ＭＳ ゴシック" w:hAnsi="Century" w:cs="Calibri"/>
                <w:color w:val="FF0000"/>
                <w:kern w:val="0"/>
                <w:sz w:val="20"/>
                <w:szCs w:val="20"/>
              </w:rPr>
              <w:t>-8,397</w:t>
            </w:r>
          </w:p>
        </w:tc>
      </w:tr>
      <w:tr w:rsidR="00A5639E" w14:paraId="4E3A773E" w14:textId="77777777" w:rsidTr="00A5639E">
        <w:trPr>
          <w:trHeight w:val="316"/>
        </w:trPr>
        <w:tc>
          <w:tcPr>
            <w:tcW w:w="2492" w:type="dxa"/>
            <w:tcBorders>
              <w:top w:val="nil"/>
              <w:left w:val="nil"/>
              <w:bottom w:val="nil"/>
              <w:right w:val="nil"/>
            </w:tcBorders>
          </w:tcPr>
          <w:p w14:paraId="60CC3A10" w14:textId="77777777" w:rsidR="00A5639E" w:rsidRPr="00A5639E" w:rsidRDefault="00A5639E">
            <w:pPr>
              <w:autoSpaceDE w:val="0"/>
              <w:autoSpaceDN w:val="0"/>
              <w:adjustRightInd w:val="0"/>
              <w:jc w:val="left"/>
              <w:rPr>
                <w:rFonts w:asciiTheme="minorEastAsia" w:hAnsiTheme="minorEastAsia" w:cs="ＭＳ ゴシック"/>
                <w:color w:val="000000"/>
                <w:kern w:val="0"/>
                <w:sz w:val="20"/>
                <w:szCs w:val="20"/>
              </w:rPr>
            </w:pPr>
            <w:r w:rsidRPr="00A5639E">
              <w:rPr>
                <w:rFonts w:asciiTheme="minorEastAsia" w:hAnsiTheme="minorEastAsia" w:cs="ＭＳ ゴシック" w:hint="eastAsia"/>
                <w:color w:val="000000"/>
                <w:kern w:val="0"/>
                <w:sz w:val="20"/>
                <w:szCs w:val="20"/>
              </w:rPr>
              <w:t xml:space="preserve">　法人税等</w:t>
            </w:r>
          </w:p>
        </w:tc>
        <w:tc>
          <w:tcPr>
            <w:tcW w:w="957" w:type="dxa"/>
            <w:tcBorders>
              <w:top w:val="nil"/>
              <w:left w:val="nil"/>
              <w:bottom w:val="nil"/>
              <w:right w:val="nil"/>
            </w:tcBorders>
          </w:tcPr>
          <w:p w14:paraId="15DC5F11"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1,803</w:t>
            </w:r>
          </w:p>
        </w:tc>
        <w:tc>
          <w:tcPr>
            <w:tcW w:w="976" w:type="dxa"/>
            <w:tcBorders>
              <w:top w:val="nil"/>
              <w:left w:val="nil"/>
              <w:bottom w:val="nil"/>
              <w:right w:val="nil"/>
            </w:tcBorders>
          </w:tcPr>
          <w:p w14:paraId="4237CE31"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1,547</w:t>
            </w:r>
          </w:p>
        </w:tc>
        <w:tc>
          <w:tcPr>
            <w:tcW w:w="992" w:type="dxa"/>
            <w:tcBorders>
              <w:top w:val="nil"/>
              <w:left w:val="nil"/>
              <w:bottom w:val="nil"/>
              <w:right w:val="nil"/>
            </w:tcBorders>
          </w:tcPr>
          <w:p w14:paraId="71EDFE6C"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1,183</w:t>
            </w:r>
          </w:p>
        </w:tc>
        <w:tc>
          <w:tcPr>
            <w:tcW w:w="992" w:type="dxa"/>
            <w:tcBorders>
              <w:top w:val="nil"/>
              <w:left w:val="nil"/>
              <w:bottom w:val="nil"/>
              <w:right w:val="nil"/>
            </w:tcBorders>
          </w:tcPr>
          <w:p w14:paraId="52466028"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1,944</w:t>
            </w:r>
          </w:p>
        </w:tc>
        <w:tc>
          <w:tcPr>
            <w:tcW w:w="992" w:type="dxa"/>
            <w:tcBorders>
              <w:top w:val="nil"/>
              <w:left w:val="nil"/>
              <w:bottom w:val="nil"/>
              <w:right w:val="nil"/>
            </w:tcBorders>
          </w:tcPr>
          <w:p w14:paraId="70E3C029"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1,710</w:t>
            </w:r>
          </w:p>
        </w:tc>
        <w:tc>
          <w:tcPr>
            <w:tcW w:w="993" w:type="dxa"/>
            <w:tcBorders>
              <w:top w:val="nil"/>
              <w:left w:val="nil"/>
              <w:bottom w:val="nil"/>
              <w:right w:val="nil"/>
            </w:tcBorders>
          </w:tcPr>
          <w:p w14:paraId="6C4FD8BB" w14:textId="77777777" w:rsidR="00A5639E" w:rsidRPr="00C74F0E" w:rsidRDefault="00A5639E">
            <w:pPr>
              <w:autoSpaceDE w:val="0"/>
              <w:autoSpaceDN w:val="0"/>
              <w:adjustRightInd w:val="0"/>
              <w:jc w:val="right"/>
              <w:rPr>
                <w:rFonts w:ascii="Century" w:eastAsia="ＭＳ ゴシック" w:hAnsi="Century" w:cs="Calibri"/>
                <w:color w:val="FF0000"/>
                <w:kern w:val="0"/>
                <w:sz w:val="20"/>
                <w:szCs w:val="20"/>
              </w:rPr>
            </w:pPr>
            <w:r w:rsidRPr="00C74F0E">
              <w:rPr>
                <w:rFonts w:ascii="Century" w:eastAsia="ＭＳ ゴシック" w:hAnsi="Century" w:cs="Calibri"/>
                <w:color w:val="FF0000"/>
                <w:kern w:val="0"/>
                <w:sz w:val="20"/>
                <w:szCs w:val="20"/>
              </w:rPr>
              <w:t>-1,167</w:t>
            </w:r>
          </w:p>
        </w:tc>
      </w:tr>
      <w:tr w:rsidR="00A5639E" w14:paraId="1C19B7F6" w14:textId="77777777" w:rsidTr="00A5639E">
        <w:trPr>
          <w:trHeight w:val="316"/>
        </w:trPr>
        <w:tc>
          <w:tcPr>
            <w:tcW w:w="2492" w:type="dxa"/>
            <w:tcBorders>
              <w:top w:val="nil"/>
              <w:left w:val="nil"/>
              <w:bottom w:val="nil"/>
              <w:right w:val="nil"/>
            </w:tcBorders>
          </w:tcPr>
          <w:p w14:paraId="33FD625C" w14:textId="4190B6C2" w:rsidR="00A5639E" w:rsidRPr="00A5639E" w:rsidRDefault="00A5639E">
            <w:pPr>
              <w:autoSpaceDE w:val="0"/>
              <w:autoSpaceDN w:val="0"/>
              <w:adjustRightInd w:val="0"/>
              <w:jc w:val="left"/>
              <w:rPr>
                <w:rFonts w:asciiTheme="minorEastAsia" w:hAnsiTheme="minorEastAsia" w:cs="ＭＳ ゴシック"/>
                <w:color w:val="000000"/>
                <w:kern w:val="0"/>
                <w:sz w:val="20"/>
                <w:szCs w:val="20"/>
              </w:rPr>
            </w:pPr>
            <w:r w:rsidRPr="00A5639E">
              <w:rPr>
                <w:rFonts w:asciiTheme="minorEastAsia" w:hAnsiTheme="minorEastAsia" w:cs="ＭＳ ゴシック" w:hint="eastAsia"/>
                <w:color w:val="000000"/>
                <w:kern w:val="0"/>
                <w:sz w:val="20"/>
                <w:szCs w:val="20"/>
              </w:rPr>
              <w:t xml:space="preserve">　</w:t>
            </w:r>
            <w:r w:rsidR="001D30E8">
              <w:rPr>
                <w:rFonts w:asciiTheme="minorEastAsia" w:hAnsiTheme="minorEastAsia" w:cs="ＭＳ ゴシック" w:hint="eastAsia"/>
                <w:color w:val="000000"/>
                <w:kern w:val="0"/>
                <w:sz w:val="20"/>
                <w:szCs w:val="20"/>
              </w:rPr>
              <w:t xml:space="preserve">　</w:t>
            </w:r>
            <w:r w:rsidRPr="00A5639E">
              <w:rPr>
                <w:rFonts w:asciiTheme="minorEastAsia" w:hAnsiTheme="minorEastAsia" w:cs="ＭＳ ゴシック" w:hint="eastAsia"/>
                <w:color w:val="000000"/>
                <w:kern w:val="0"/>
                <w:sz w:val="20"/>
                <w:szCs w:val="20"/>
              </w:rPr>
              <w:t>実質実効税率</w:t>
            </w:r>
          </w:p>
        </w:tc>
        <w:tc>
          <w:tcPr>
            <w:tcW w:w="957" w:type="dxa"/>
            <w:tcBorders>
              <w:top w:val="nil"/>
              <w:left w:val="nil"/>
              <w:bottom w:val="nil"/>
              <w:right w:val="nil"/>
            </w:tcBorders>
          </w:tcPr>
          <w:p w14:paraId="1AB33F49"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34.68%</w:t>
            </w:r>
          </w:p>
        </w:tc>
        <w:tc>
          <w:tcPr>
            <w:tcW w:w="976" w:type="dxa"/>
            <w:tcBorders>
              <w:top w:val="nil"/>
              <w:left w:val="nil"/>
              <w:bottom w:val="nil"/>
              <w:right w:val="nil"/>
            </w:tcBorders>
          </w:tcPr>
          <w:p w14:paraId="698FA185"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36.94%</w:t>
            </w:r>
          </w:p>
        </w:tc>
        <w:tc>
          <w:tcPr>
            <w:tcW w:w="992" w:type="dxa"/>
            <w:tcBorders>
              <w:top w:val="nil"/>
              <w:left w:val="nil"/>
              <w:bottom w:val="nil"/>
              <w:right w:val="nil"/>
            </w:tcBorders>
          </w:tcPr>
          <w:p w14:paraId="46344887"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40.05%</w:t>
            </w:r>
          </w:p>
        </w:tc>
        <w:tc>
          <w:tcPr>
            <w:tcW w:w="992" w:type="dxa"/>
            <w:tcBorders>
              <w:top w:val="nil"/>
              <w:left w:val="nil"/>
              <w:bottom w:val="nil"/>
              <w:right w:val="nil"/>
            </w:tcBorders>
          </w:tcPr>
          <w:p w14:paraId="5ECF3B62"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24.27%</w:t>
            </w:r>
          </w:p>
        </w:tc>
        <w:tc>
          <w:tcPr>
            <w:tcW w:w="992" w:type="dxa"/>
            <w:tcBorders>
              <w:top w:val="nil"/>
              <w:left w:val="nil"/>
              <w:bottom w:val="nil"/>
              <w:right w:val="nil"/>
            </w:tcBorders>
          </w:tcPr>
          <w:p w14:paraId="4F25FE5C"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37.57%</w:t>
            </w:r>
          </w:p>
        </w:tc>
        <w:tc>
          <w:tcPr>
            <w:tcW w:w="993" w:type="dxa"/>
            <w:tcBorders>
              <w:top w:val="nil"/>
              <w:left w:val="nil"/>
              <w:bottom w:val="nil"/>
              <w:right w:val="nil"/>
            </w:tcBorders>
          </w:tcPr>
          <w:p w14:paraId="7F9BEE81"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13.90%</w:t>
            </w:r>
          </w:p>
        </w:tc>
      </w:tr>
      <w:tr w:rsidR="00A5639E" w14:paraId="600C6B4C" w14:textId="77777777" w:rsidTr="00A5639E">
        <w:trPr>
          <w:trHeight w:val="316"/>
        </w:trPr>
        <w:tc>
          <w:tcPr>
            <w:tcW w:w="2492" w:type="dxa"/>
            <w:tcBorders>
              <w:top w:val="nil"/>
              <w:left w:val="nil"/>
              <w:bottom w:val="nil"/>
              <w:right w:val="nil"/>
            </w:tcBorders>
          </w:tcPr>
          <w:p w14:paraId="5259A309" w14:textId="51DCC48B" w:rsidR="00A5639E" w:rsidRPr="00A5639E" w:rsidRDefault="00A5639E" w:rsidP="00A5639E">
            <w:pPr>
              <w:autoSpaceDE w:val="0"/>
              <w:autoSpaceDN w:val="0"/>
              <w:adjustRightInd w:val="0"/>
              <w:jc w:val="left"/>
              <w:rPr>
                <w:rFonts w:asciiTheme="minorEastAsia" w:hAnsiTheme="minorEastAsia" w:cs="ＭＳ ゴシック"/>
                <w:color w:val="000000"/>
                <w:kern w:val="0"/>
                <w:sz w:val="20"/>
                <w:szCs w:val="20"/>
              </w:rPr>
            </w:pPr>
            <w:r>
              <w:rPr>
                <w:rFonts w:asciiTheme="minorEastAsia" w:hAnsiTheme="minorEastAsia" w:cs="ＭＳ ゴシック" w:hint="eastAsia"/>
                <w:color w:val="000000"/>
                <w:kern w:val="0"/>
                <w:sz w:val="20"/>
                <w:szCs w:val="20"/>
              </w:rPr>
              <w:t>当期純利益</w:t>
            </w:r>
          </w:p>
        </w:tc>
        <w:tc>
          <w:tcPr>
            <w:tcW w:w="957" w:type="dxa"/>
            <w:tcBorders>
              <w:top w:val="nil"/>
              <w:left w:val="nil"/>
              <w:bottom w:val="nil"/>
              <w:right w:val="nil"/>
            </w:tcBorders>
          </w:tcPr>
          <w:p w14:paraId="53D06550" w14:textId="075FD1C1" w:rsidR="00A5639E" w:rsidRPr="00C74F0E" w:rsidRDefault="00A5639E" w:rsidP="00A5639E">
            <w:pPr>
              <w:autoSpaceDE w:val="0"/>
              <w:autoSpaceDN w:val="0"/>
              <w:adjustRightInd w:val="0"/>
              <w:jc w:val="right"/>
              <w:rPr>
                <w:rFonts w:ascii="Century" w:eastAsia="ＭＳ ゴシック" w:hAnsi="Century" w:cs="Calibri"/>
                <w:color w:val="000000"/>
                <w:kern w:val="0"/>
                <w:sz w:val="20"/>
                <w:szCs w:val="21"/>
              </w:rPr>
            </w:pPr>
            <w:r w:rsidRPr="00C74F0E">
              <w:rPr>
                <w:rFonts w:ascii="Century" w:hAnsi="Century" w:cs="Calibri"/>
                <w:sz w:val="20"/>
                <w:szCs w:val="21"/>
              </w:rPr>
              <w:t>3,395</w:t>
            </w:r>
          </w:p>
        </w:tc>
        <w:tc>
          <w:tcPr>
            <w:tcW w:w="976" w:type="dxa"/>
            <w:tcBorders>
              <w:top w:val="nil"/>
              <w:left w:val="nil"/>
              <w:bottom w:val="nil"/>
              <w:right w:val="nil"/>
            </w:tcBorders>
          </w:tcPr>
          <w:p w14:paraId="7CCB8E1E" w14:textId="1DA0ABD0" w:rsidR="00A5639E" w:rsidRPr="00C74F0E" w:rsidRDefault="00A5639E" w:rsidP="00A5639E">
            <w:pPr>
              <w:autoSpaceDE w:val="0"/>
              <w:autoSpaceDN w:val="0"/>
              <w:adjustRightInd w:val="0"/>
              <w:jc w:val="right"/>
              <w:rPr>
                <w:rFonts w:ascii="Century" w:eastAsia="ＭＳ ゴシック" w:hAnsi="Century" w:cs="Calibri"/>
                <w:color w:val="000000"/>
                <w:kern w:val="0"/>
                <w:sz w:val="20"/>
                <w:szCs w:val="21"/>
              </w:rPr>
            </w:pPr>
            <w:r w:rsidRPr="00C74F0E">
              <w:rPr>
                <w:rFonts w:ascii="Century" w:hAnsi="Century" w:cs="Calibri"/>
                <w:sz w:val="20"/>
                <w:szCs w:val="21"/>
              </w:rPr>
              <w:t>2,641</w:t>
            </w:r>
          </w:p>
        </w:tc>
        <w:tc>
          <w:tcPr>
            <w:tcW w:w="992" w:type="dxa"/>
            <w:tcBorders>
              <w:top w:val="nil"/>
              <w:left w:val="nil"/>
              <w:bottom w:val="nil"/>
              <w:right w:val="nil"/>
            </w:tcBorders>
          </w:tcPr>
          <w:p w14:paraId="28180FDC" w14:textId="77B39DCF" w:rsidR="00A5639E" w:rsidRPr="00C74F0E" w:rsidRDefault="00A5639E" w:rsidP="00A5639E">
            <w:pPr>
              <w:autoSpaceDE w:val="0"/>
              <w:autoSpaceDN w:val="0"/>
              <w:adjustRightInd w:val="0"/>
              <w:jc w:val="right"/>
              <w:rPr>
                <w:rFonts w:ascii="Century" w:eastAsia="ＭＳ ゴシック" w:hAnsi="Century" w:cs="Calibri"/>
                <w:color w:val="000000"/>
                <w:kern w:val="0"/>
                <w:sz w:val="20"/>
                <w:szCs w:val="21"/>
              </w:rPr>
            </w:pPr>
            <w:r w:rsidRPr="00C74F0E">
              <w:rPr>
                <w:rFonts w:ascii="Century" w:hAnsi="Century" w:cs="Calibri"/>
                <w:sz w:val="20"/>
                <w:szCs w:val="21"/>
              </w:rPr>
              <w:t>1,771</w:t>
            </w:r>
          </w:p>
        </w:tc>
        <w:tc>
          <w:tcPr>
            <w:tcW w:w="992" w:type="dxa"/>
            <w:tcBorders>
              <w:top w:val="nil"/>
              <w:left w:val="nil"/>
              <w:bottom w:val="nil"/>
              <w:right w:val="nil"/>
            </w:tcBorders>
          </w:tcPr>
          <w:p w14:paraId="3E25213F" w14:textId="39B97A58" w:rsidR="00A5639E" w:rsidRPr="00C74F0E" w:rsidRDefault="00A5639E" w:rsidP="00A5639E">
            <w:pPr>
              <w:autoSpaceDE w:val="0"/>
              <w:autoSpaceDN w:val="0"/>
              <w:adjustRightInd w:val="0"/>
              <w:jc w:val="right"/>
              <w:rPr>
                <w:rFonts w:ascii="Century" w:eastAsia="ＭＳ ゴシック" w:hAnsi="Century" w:cs="Calibri"/>
                <w:color w:val="000000"/>
                <w:kern w:val="0"/>
                <w:sz w:val="20"/>
                <w:szCs w:val="21"/>
              </w:rPr>
            </w:pPr>
            <w:r w:rsidRPr="00C74F0E">
              <w:rPr>
                <w:rFonts w:ascii="Century" w:hAnsi="Century" w:cs="Calibri"/>
                <w:sz w:val="20"/>
                <w:szCs w:val="21"/>
              </w:rPr>
              <w:t>6,068</w:t>
            </w:r>
          </w:p>
        </w:tc>
        <w:tc>
          <w:tcPr>
            <w:tcW w:w="992" w:type="dxa"/>
            <w:tcBorders>
              <w:top w:val="nil"/>
              <w:left w:val="nil"/>
              <w:bottom w:val="nil"/>
              <w:right w:val="nil"/>
            </w:tcBorders>
          </w:tcPr>
          <w:p w14:paraId="31793BD0" w14:textId="15262E5A" w:rsidR="00A5639E" w:rsidRPr="00C74F0E" w:rsidRDefault="00A5639E" w:rsidP="00A5639E">
            <w:pPr>
              <w:autoSpaceDE w:val="0"/>
              <w:autoSpaceDN w:val="0"/>
              <w:adjustRightInd w:val="0"/>
              <w:jc w:val="right"/>
              <w:rPr>
                <w:rFonts w:ascii="Century" w:eastAsia="ＭＳ ゴシック" w:hAnsi="Century" w:cs="Calibri"/>
                <w:color w:val="000000"/>
                <w:kern w:val="0"/>
                <w:sz w:val="20"/>
                <w:szCs w:val="21"/>
              </w:rPr>
            </w:pPr>
            <w:r w:rsidRPr="00C74F0E">
              <w:rPr>
                <w:rFonts w:ascii="Century" w:hAnsi="Century" w:cs="Calibri"/>
                <w:sz w:val="20"/>
                <w:szCs w:val="21"/>
              </w:rPr>
              <w:t>2,841</w:t>
            </w:r>
          </w:p>
        </w:tc>
        <w:tc>
          <w:tcPr>
            <w:tcW w:w="993" w:type="dxa"/>
            <w:tcBorders>
              <w:top w:val="nil"/>
              <w:left w:val="nil"/>
              <w:bottom w:val="nil"/>
              <w:right w:val="nil"/>
            </w:tcBorders>
          </w:tcPr>
          <w:p w14:paraId="12F870CF" w14:textId="772AAF2D" w:rsidR="00A5639E" w:rsidRPr="00C74F0E" w:rsidRDefault="00A5639E" w:rsidP="00A5639E">
            <w:pPr>
              <w:autoSpaceDE w:val="0"/>
              <w:autoSpaceDN w:val="0"/>
              <w:adjustRightInd w:val="0"/>
              <w:jc w:val="right"/>
              <w:rPr>
                <w:rFonts w:ascii="Century" w:eastAsia="ＭＳ ゴシック" w:hAnsi="Century" w:cs="Calibri"/>
                <w:color w:val="FF0000"/>
                <w:kern w:val="0"/>
                <w:sz w:val="20"/>
                <w:szCs w:val="21"/>
              </w:rPr>
            </w:pPr>
            <w:r w:rsidRPr="00C74F0E">
              <w:rPr>
                <w:rFonts w:ascii="Century" w:hAnsi="Century" w:cs="Calibri"/>
                <w:color w:val="FF0000"/>
                <w:sz w:val="20"/>
                <w:szCs w:val="21"/>
              </w:rPr>
              <w:t>-7,231</w:t>
            </w:r>
          </w:p>
        </w:tc>
      </w:tr>
      <w:tr w:rsidR="00A5639E" w14:paraId="4AE7133E" w14:textId="77777777" w:rsidTr="00A5639E">
        <w:trPr>
          <w:trHeight w:val="316"/>
        </w:trPr>
        <w:tc>
          <w:tcPr>
            <w:tcW w:w="2492" w:type="dxa"/>
            <w:tcBorders>
              <w:top w:val="nil"/>
              <w:left w:val="nil"/>
              <w:bottom w:val="single" w:sz="6" w:space="0" w:color="000000"/>
              <w:right w:val="nil"/>
            </w:tcBorders>
          </w:tcPr>
          <w:p w14:paraId="21B31DD4" w14:textId="77777777" w:rsidR="00A5639E" w:rsidRPr="00A5639E" w:rsidRDefault="00A5639E">
            <w:pPr>
              <w:autoSpaceDE w:val="0"/>
              <w:autoSpaceDN w:val="0"/>
              <w:adjustRightInd w:val="0"/>
              <w:jc w:val="left"/>
              <w:rPr>
                <w:rFonts w:asciiTheme="minorEastAsia" w:hAnsiTheme="minorEastAsia" w:cs="Calibri"/>
                <w:color w:val="000000"/>
                <w:kern w:val="0"/>
                <w:sz w:val="20"/>
                <w:szCs w:val="20"/>
              </w:rPr>
            </w:pPr>
            <w:r w:rsidRPr="00A5639E">
              <w:rPr>
                <w:rFonts w:asciiTheme="minorEastAsia" w:hAnsiTheme="minorEastAsia" w:cs="Calibri"/>
                <w:color w:val="000000"/>
                <w:kern w:val="0"/>
                <w:sz w:val="20"/>
                <w:szCs w:val="20"/>
              </w:rPr>
              <w:t>親会社に帰属する純利益</w:t>
            </w:r>
          </w:p>
        </w:tc>
        <w:tc>
          <w:tcPr>
            <w:tcW w:w="957" w:type="dxa"/>
            <w:tcBorders>
              <w:top w:val="nil"/>
              <w:left w:val="nil"/>
              <w:bottom w:val="single" w:sz="6" w:space="0" w:color="000000"/>
              <w:right w:val="nil"/>
            </w:tcBorders>
          </w:tcPr>
          <w:p w14:paraId="6F8C101A"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2,356</w:t>
            </w:r>
          </w:p>
        </w:tc>
        <w:tc>
          <w:tcPr>
            <w:tcW w:w="976" w:type="dxa"/>
            <w:tcBorders>
              <w:top w:val="nil"/>
              <w:left w:val="nil"/>
              <w:bottom w:val="single" w:sz="6" w:space="0" w:color="000000"/>
              <w:right w:val="nil"/>
            </w:tcBorders>
          </w:tcPr>
          <w:p w14:paraId="6B529739"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2,608</w:t>
            </w:r>
          </w:p>
        </w:tc>
        <w:tc>
          <w:tcPr>
            <w:tcW w:w="992" w:type="dxa"/>
            <w:tcBorders>
              <w:top w:val="nil"/>
              <w:left w:val="nil"/>
              <w:bottom w:val="single" w:sz="6" w:space="0" w:color="000000"/>
              <w:right w:val="nil"/>
            </w:tcBorders>
          </w:tcPr>
          <w:p w14:paraId="5A80678E"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1,531</w:t>
            </w:r>
          </w:p>
        </w:tc>
        <w:tc>
          <w:tcPr>
            <w:tcW w:w="992" w:type="dxa"/>
            <w:tcBorders>
              <w:top w:val="nil"/>
              <w:left w:val="nil"/>
              <w:bottom w:val="single" w:sz="6" w:space="0" w:color="000000"/>
              <w:right w:val="nil"/>
            </w:tcBorders>
          </w:tcPr>
          <w:p w14:paraId="0B11AA8D"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5,754</w:t>
            </w:r>
          </w:p>
        </w:tc>
        <w:tc>
          <w:tcPr>
            <w:tcW w:w="992" w:type="dxa"/>
            <w:tcBorders>
              <w:top w:val="nil"/>
              <w:left w:val="nil"/>
              <w:bottom w:val="single" w:sz="6" w:space="0" w:color="000000"/>
              <w:right w:val="nil"/>
            </w:tcBorders>
          </w:tcPr>
          <w:p w14:paraId="3FC88F48"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2,177</w:t>
            </w:r>
          </w:p>
        </w:tc>
        <w:tc>
          <w:tcPr>
            <w:tcW w:w="993" w:type="dxa"/>
            <w:tcBorders>
              <w:top w:val="nil"/>
              <w:left w:val="nil"/>
              <w:bottom w:val="single" w:sz="6" w:space="0" w:color="000000"/>
              <w:right w:val="nil"/>
            </w:tcBorders>
          </w:tcPr>
          <w:p w14:paraId="0C2D8F82" w14:textId="77777777" w:rsidR="00A5639E" w:rsidRPr="00C74F0E" w:rsidRDefault="00A5639E">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FF0000"/>
                <w:kern w:val="0"/>
                <w:sz w:val="20"/>
                <w:szCs w:val="20"/>
              </w:rPr>
              <w:t>-5,636</w:t>
            </w:r>
          </w:p>
        </w:tc>
      </w:tr>
    </w:tbl>
    <w:p w14:paraId="2D8E6B66" w14:textId="14A4A5EC" w:rsidR="00A5639E" w:rsidRDefault="00A5639E" w:rsidP="008D3845">
      <w:r>
        <w:rPr>
          <w:rFonts w:hint="eastAsia"/>
        </w:rPr>
        <w:t>出典：</w:t>
      </w:r>
      <w:r w:rsidRPr="00DD0703">
        <w:rPr>
          <w:rFonts w:hint="eastAsia"/>
        </w:rPr>
        <w:t>エイチ・アイ・エス</w:t>
      </w:r>
      <w:r>
        <w:rPr>
          <w:rFonts w:hint="eastAsia"/>
        </w:rPr>
        <w:t>社「四半期報告書」より筆者作成。</w:t>
      </w:r>
      <w:r w:rsidR="00B15EF4">
        <w:rPr>
          <w:rFonts w:hint="eastAsia"/>
        </w:rPr>
        <w:t>単位は百万円。</w:t>
      </w:r>
    </w:p>
    <w:p w14:paraId="1D2A6F7A" w14:textId="0D1DCA12" w:rsidR="00A5639E" w:rsidRDefault="00A5639E" w:rsidP="008D3845"/>
    <w:p w14:paraId="4ADDD115" w14:textId="2070DF50" w:rsidR="007B4DE0" w:rsidRPr="007B4DE0" w:rsidRDefault="007B4DE0" w:rsidP="007B4DE0">
      <w:pPr>
        <w:widowControl/>
        <w:jc w:val="left"/>
      </w:pPr>
      <w:r>
        <w:rPr>
          <w:rFonts w:hint="eastAsia"/>
        </w:rPr>
        <w:t>表</w:t>
      </w:r>
      <w:r>
        <w:t>12</w:t>
      </w:r>
      <w:r>
        <w:rPr>
          <w:rFonts w:hint="eastAsia"/>
        </w:rPr>
        <w:t xml:space="preserve">　</w:t>
      </w:r>
      <w:r w:rsidRPr="00DD0703">
        <w:rPr>
          <w:rFonts w:hint="eastAsia"/>
        </w:rPr>
        <w:t>エイチ・アイ・エス</w:t>
      </w:r>
      <w:r>
        <w:rPr>
          <w:rFonts w:hint="eastAsia"/>
        </w:rPr>
        <w:t>社の資産の部（四半期）</w:t>
      </w:r>
    </w:p>
    <w:tbl>
      <w:tblPr>
        <w:tblW w:w="0" w:type="auto"/>
        <w:tblInd w:w="-30" w:type="dxa"/>
        <w:tblLayout w:type="fixed"/>
        <w:tblCellMar>
          <w:left w:w="99" w:type="dxa"/>
          <w:right w:w="99" w:type="dxa"/>
        </w:tblCellMar>
        <w:tblLook w:val="0000" w:firstRow="0" w:lastRow="0" w:firstColumn="0" w:lastColumn="0" w:noHBand="0" w:noVBand="0"/>
      </w:tblPr>
      <w:tblGrid>
        <w:gridCol w:w="2491"/>
        <w:gridCol w:w="977"/>
        <w:gridCol w:w="977"/>
        <w:gridCol w:w="977"/>
        <w:gridCol w:w="976"/>
        <w:gridCol w:w="977"/>
        <w:gridCol w:w="977"/>
      </w:tblGrid>
      <w:tr w:rsidR="007B4DE0" w14:paraId="39D5310F" w14:textId="77777777" w:rsidTr="007B4DE0">
        <w:trPr>
          <w:trHeight w:val="319"/>
        </w:trPr>
        <w:tc>
          <w:tcPr>
            <w:tcW w:w="2491" w:type="dxa"/>
            <w:tcBorders>
              <w:top w:val="single" w:sz="6" w:space="0" w:color="000000"/>
              <w:left w:val="nil"/>
              <w:bottom w:val="single" w:sz="6" w:space="0" w:color="000000"/>
              <w:right w:val="nil"/>
            </w:tcBorders>
          </w:tcPr>
          <w:p w14:paraId="315EB495" w14:textId="26DAEF87" w:rsidR="007B4DE0" w:rsidRPr="007B4DE0" w:rsidRDefault="007B4DE0" w:rsidP="007B4DE0">
            <w:pPr>
              <w:autoSpaceDE w:val="0"/>
              <w:autoSpaceDN w:val="0"/>
              <w:adjustRightInd w:val="0"/>
              <w:jc w:val="left"/>
              <w:rPr>
                <w:rFonts w:ascii="Calibri" w:hAnsi="Calibri" w:cs="Calibri"/>
                <w:b/>
                <w:bCs/>
                <w:color w:val="000000"/>
                <w:kern w:val="0"/>
                <w:sz w:val="20"/>
                <w:szCs w:val="20"/>
              </w:rPr>
            </w:pPr>
            <w:r w:rsidRPr="007B4DE0">
              <w:rPr>
                <w:rFonts w:asciiTheme="minorEastAsia" w:hAnsiTheme="minorEastAsia" w:cs="Calibri"/>
                <w:b/>
                <w:bCs/>
                <w:color w:val="000000"/>
                <w:kern w:val="0"/>
                <w:sz w:val="20"/>
                <w:szCs w:val="20"/>
              </w:rPr>
              <w:t>資産</w:t>
            </w:r>
            <w:r w:rsidRPr="007B4DE0">
              <w:rPr>
                <w:rFonts w:asciiTheme="minorEastAsia" w:hAnsiTheme="minorEastAsia" w:cs="Calibri" w:hint="eastAsia"/>
                <w:b/>
                <w:bCs/>
                <w:color w:val="000000"/>
                <w:kern w:val="0"/>
                <w:sz w:val="20"/>
                <w:szCs w:val="20"/>
              </w:rPr>
              <w:t>の部</w:t>
            </w:r>
          </w:p>
        </w:tc>
        <w:tc>
          <w:tcPr>
            <w:tcW w:w="977" w:type="dxa"/>
            <w:tcBorders>
              <w:top w:val="single" w:sz="6" w:space="0" w:color="000000"/>
              <w:left w:val="nil"/>
              <w:bottom w:val="single" w:sz="6" w:space="0" w:color="000000"/>
              <w:right w:val="nil"/>
            </w:tcBorders>
          </w:tcPr>
          <w:p w14:paraId="194295B8" w14:textId="77777777" w:rsidR="007B4DE0" w:rsidRPr="00C74F0E" w:rsidRDefault="007B4DE0">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19.Q1</w:t>
            </w:r>
          </w:p>
        </w:tc>
        <w:tc>
          <w:tcPr>
            <w:tcW w:w="977" w:type="dxa"/>
            <w:tcBorders>
              <w:top w:val="single" w:sz="6" w:space="0" w:color="000000"/>
              <w:left w:val="nil"/>
              <w:bottom w:val="single" w:sz="6" w:space="0" w:color="000000"/>
              <w:right w:val="nil"/>
            </w:tcBorders>
          </w:tcPr>
          <w:p w14:paraId="2A76624D" w14:textId="77777777" w:rsidR="007B4DE0" w:rsidRPr="00C74F0E" w:rsidRDefault="007B4DE0">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19.Q2</w:t>
            </w:r>
          </w:p>
        </w:tc>
        <w:tc>
          <w:tcPr>
            <w:tcW w:w="977" w:type="dxa"/>
            <w:tcBorders>
              <w:top w:val="single" w:sz="6" w:space="0" w:color="000000"/>
              <w:left w:val="nil"/>
              <w:bottom w:val="single" w:sz="6" w:space="0" w:color="000000"/>
              <w:right w:val="nil"/>
            </w:tcBorders>
          </w:tcPr>
          <w:p w14:paraId="1AA5EF21" w14:textId="77777777" w:rsidR="007B4DE0" w:rsidRPr="00C74F0E" w:rsidRDefault="007B4DE0">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19.Q3</w:t>
            </w:r>
          </w:p>
        </w:tc>
        <w:tc>
          <w:tcPr>
            <w:tcW w:w="976" w:type="dxa"/>
            <w:tcBorders>
              <w:top w:val="single" w:sz="6" w:space="0" w:color="000000"/>
              <w:left w:val="nil"/>
              <w:bottom w:val="single" w:sz="6" w:space="0" w:color="000000"/>
              <w:right w:val="nil"/>
            </w:tcBorders>
          </w:tcPr>
          <w:p w14:paraId="6AD37F94" w14:textId="77777777" w:rsidR="007B4DE0" w:rsidRPr="00C74F0E" w:rsidRDefault="007B4DE0">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19.Q4</w:t>
            </w:r>
          </w:p>
        </w:tc>
        <w:tc>
          <w:tcPr>
            <w:tcW w:w="977" w:type="dxa"/>
            <w:tcBorders>
              <w:top w:val="single" w:sz="6" w:space="0" w:color="000000"/>
              <w:left w:val="nil"/>
              <w:bottom w:val="single" w:sz="6" w:space="0" w:color="000000"/>
              <w:right w:val="nil"/>
            </w:tcBorders>
          </w:tcPr>
          <w:p w14:paraId="4ED2529E" w14:textId="77777777" w:rsidR="007B4DE0" w:rsidRPr="00C74F0E" w:rsidRDefault="007B4DE0">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20.Q1</w:t>
            </w:r>
          </w:p>
        </w:tc>
        <w:tc>
          <w:tcPr>
            <w:tcW w:w="977" w:type="dxa"/>
            <w:tcBorders>
              <w:top w:val="single" w:sz="6" w:space="0" w:color="000000"/>
              <w:left w:val="nil"/>
              <w:bottom w:val="single" w:sz="6" w:space="0" w:color="000000"/>
              <w:right w:val="nil"/>
            </w:tcBorders>
          </w:tcPr>
          <w:p w14:paraId="75B848FE" w14:textId="77777777" w:rsidR="007B4DE0" w:rsidRPr="00C74F0E" w:rsidRDefault="007B4DE0">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20.Q2</w:t>
            </w:r>
          </w:p>
        </w:tc>
      </w:tr>
      <w:tr w:rsidR="007B4DE0" w14:paraId="38132CED" w14:textId="77777777" w:rsidTr="007B4DE0">
        <w:trPr>
          <w:trHeight w:val="319"/>
        </w:trPr>
        <w:tc>
          <w:tcPr>
            <w:tcW w:w="2491" w:type="dxa"/>
            <w:tcBorders>
              <w:top w:val="nil"/>
              <w:left w:val="nil"/>
              <w:bottom w:val="nil"/>
              <w:right w:val="nil"/>
            </w:tcBorders>
          </w:tcPr>
          <w:p w14:paraId="1981452F" w14:textId="77777777" w:rsidR="007B4DE0" w:rsidRPr="007B4DE0" w:rsidRDefault="007B4DE0">
            <w:pPr>
              <w:autoSpaceDE w:val="0"/>
              <w:autoSpaceDN w:val="0"/>
              <w:adjustRightInd w:val="0"/>
              <w:jc w:val="left"/>
              <w:rPr>
                <w:rFonts w:asciiTheme="minorEastAsia" w:hAnsiTheme="minorEastAsia" w:cs="Calibri"/>
                <w:color w:val="000000"/>
                <w:kern w:val="0"/>
                <w:sz w:val="20"/>
                <w:szCs w:val="20"/>
              </w:rPr>
            </w:pPr>
            <w:r w:rsidRPr="007B4DE0">
              <w:rPr>
                <w:rFonts w:asciiTheme="minorEastAsia" w:hAnsiTheme="minorEastAsia" w:cs="Calibri"/>
                <w:color w:val="000000"/>
                <w:kern w:val="0"/>
                <w:sz w:val="20"/>
                <w:szCs w:val="20"/>
              </w:rPr>
              <w:t>流動資産</w:t>
            </w:r>
          </w:p>
        </w:tc>
        <w:tc>
          <w:tcPr>
            <w:tcW w:w="977" w:type="dxa"/>
            <w:tcBorders>
              <w:top w:val="nil"/>
              <w:left w:val="nil"/>
              <w:bottom w:val="nil"/>
              <w:right w:val="nil"/>
            </w:tcBorders>
          </w:tcPr>
          <w:p w14:paraId="0F47D745" w14:textId="77777777" w:rsidR="007B4DE0" w:rsidRPr="00C74F0E" w:rsidRDefault="007B4DE0">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358,505</w:t>
            </w:r>
          </w:p>
        </w:tc>
        <w:tc>
          <w:tcPr>
            <w:tcW w:w="977" w:type="dxa"/>
            <w:tcBorders>
              <w:top w:val="nil"/>
              <w:left w:val="nil"/>
              <w:bottom w:val="nil"/>
              <w:right w:val="nil"/>
            </w:tcBorders>
          </w:tcPr>
          <w:p w14:paraId="521A3893" w14:textId="77777777" w:rsidR="007B4DE0" w:rsidRPr="00C74F0E" w:rsidRDefault="007B4DE0">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339,143</w:t>
            </w:r>
          </w:p>
        </w:tc>
        <w:tc>
          <w:tcPr>
            <w:tcW w:w="977" w:type="dxa"/>
            <w:tcBorders>
              <w:top w:val="nil"/>
              <w:left w:val="nil"/>
              <w:bottom w:val="nil"/>
              <w:right w:val="nil"/>
            </w:tcBorders>
          </w:tcPr>
          <w:p w14:paraId="52F93651" w14:textId="77777777" w:rsidR="007B4DE0" w:rsidRPr="00C74F0E" w:rsidRDefault="007B4DE0">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375,027</w:t>
            </w:r>
          </w:p>
        </w:tc>
        <w:tc>
          <w:tcPr>
            <w:tcW w:w="976" w:type="dxa"/>
            <w:tcBorders>
              <w:top w:val="nil"/>
              <w:left w:val="nil"/>
              <w:bottom w:val="nil"/>
              <w:right w:val="nil"/>
            </w:tcBorders>
          </w:tcPr>
          <w:p w14:paraId="3DA5B63D" w14:textId="77777777" w:rsidR="007B4DE0" w:rsidRPr="00C74F0E" w:rsidRDefault="007B4DE0">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348,280</w:t>
            </w:r>
          </w:p>
        </w:tc>
        <w:tc>
          <w:tcPr>
            <w:tcW w:w="977" w:type="dxa"/>
            <w:tcBorders>
              <w:top w:val="nil"/>
              <w:left w:val="nil"/>
              <w:bottom w:val="nil"/>
              <w:right w:val="nil"/>
            </w:tcBorders>
          </w:tcPr>
          <w:p w14:paraId="194D22D2" w14:textId="77777777" w:rsidR="007B4DE0" w:rsidRPr="00C74F0E" w:rsidRDefault="007B4DE0">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322,442</w:t>
            </w:r>
          </w:p>
        </w:tc>
        <w:tc>
          <w:tcPr>
            <w:tcW w:w="977" w:type="dxa"/>
            <w:tcBorders>
              <w:top w:val="nil"/>
              <w:left w:val="nil"/>
              <w:bottom w:val="nil"/>
              <w:right w:val="nil"/>
            </w:tcBorders>
          </w:tcPr>
          <w:p w14:paraId="3F3D91E7" w14:textId="77777777" w:rsidR="007B4DE0" w:rsidRPr="00C74F0E" w:rsidRDefault="007B4DE0">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207,835</w:t>
            </w:r>
          </w:p>
        </w:tc>
      </w:tr>
      <w:tr w:rsidR="007B4DE0" w14:paraId="7E186A64" w14:textId="77777777" w:rsidTr="007B4DE0">
        <w:trPr>
          <w:trHeight w:val="319"/>
        </w:trPr>
        <w:tc>
          <w:tcPr>
            <w:tcW w:w="2491" w:type="dxa"/>
            <w:tcBorders>
              <w:top w:val="nil"/>
              <w:left w:val="nil"/>
              <w:bottom w:val="nil"/>
              <w:right w:val="nil"/>
            </w:tcBorders>
          </w:tcPr>
          <w:p w14:paraId="52AF4A0D" w14:textId="77777777" w:rsidR="007B4DE0" w:rsidRPr="007B4DE0" w:rsidRDefault="007B4DE0">
            <w:pPr>
              <w:autoSpaceDE w:val="0"/>
              <w:autoSpaceDN w:val="0"/>
              <w:adjustRightInd w:val="0"/>
              <w:jc w:val="left"/>
              <w:rPr>
                <w:rFonts w:asciiTheme="minorEastAsia" w:hAnsiTheme="minorEastAsia" w:cs="ＭＳ ゴシック"/>
                <w:color w:val="000000"/>
                <w:kern w:val="0"/>
                <w:sz w:val="20"/>
                <w:szCs w:val="20"/>
              </w:rPr>
            </w:pPr>
            <w:r w:rsidRPr="007B4DE0">
              <w:rPr>
                <w:rFonts w:asciiTheme="minorEastAsia" w:hAnsiTheme="minorEastAsia" w:cs="ＭＳ ゴシック" w:hint="eastAsia"/>
                <w:color w:val="000000"/>
                <w:kern w:val="0"/>
                <w:sz w:val="20"/>
                <w:szCs w:val="20"/>
              </w:rPr>
              <w:t xml:space="preserve">　現金及び預金</w:t>
            </w:r>
          </w:p>
        </w:tc>
        <w:tc>
          <w:tcPr>
            <w:tcW w:w="977" w:type="dxa"/>
            <w:tcBorders>
              <w:top w:val="nil"/>
              <w:left w:val="nil"/>
              <w:bottom w:val="nil"/>
              <w:right w:val="nil"/>
            </w:tcBorders>
          </w:tcPr>
          <w:p w14:paraId="29B8B947"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234,782</w:t>
            </w:r>
          </w:p>
        </w:tc>
        <w:tc>
          <w:tcPr>
            <w:tcW w:w="977" w:type="dxa"/>
            <w:tcBorders>
              <w:top w:val="nil"/>
              <w:left w:val="nil"/>
              <w:bottom w:val="nil"/>
              <w:right w:val="nil"/>
            </w:tcBorders>
          </w:tcPr>
          <w:p w14:paraId="2EA8A97E"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237,642</w:t>
            </w:r>
          </w:p>
        </w:tc>
        <w:tc>
          <w:tcPr>
            <w:tcW w:w="977" w:type="dxa"/>
            <w:tcBorders>
              <w:top w:val="nil"/>
              <w:left w:val="nil"/>
              <w:bottom w:val="nil"/>
              <w:right w:val="nil"/>
            </w:tcBorders>
          </w:tcPr>
          <w:p w14:paraId="177B124E"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235,006</w:t>
            </w:r>
          </w:p>
        </w:tc>
        <w:tc>
          <w:tcPr>
            <w:tcW w:w="976" w:type="dxa"/>
            <w:tcBorders>
              <w:top w:val="nil"/>
              <w:left w:val="nil"/>
              <w:bottom w:val="nil"/>
              <w:right w:val="nil"/>
            </w:tcBorders>
          </w:tcPr>
          <w:p w14:paraId="6779F168"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219,175</w:t>
            </w:r>
          </w:p>
        </w:tc>
        <w:tc>
          <w:tcPr>
            <w:tcW w:w="977" w:type="dxa"/>
            <w:tcBorders>
              <w:top w:val="nil"/>
              <w:left w:val="nil"/>
              <w:bottom w:val="nil"/>
              <w:right w:val="nil"/>
            </w:tcBorders>
          </w:tcPr>
          <w:p w14:paraId="4C2F1007"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195,574</w:t>
            </w:r>
          </w:p>
        </w:tc>
        <w:tc>
          <w:tcPr>
            <w:tcW w:w="977" w:type="dxa"/>
            <w:tcBorders>
              <w:top w:val="nil"/>
              <w:left w:val="nil"/>
              <w:bottom w:val="nil"/>
              <w:right w:val="nil"/>
            </w:tcBorders>
          </w:tcPr>
          <w:p w14:paraId="4486AFF0"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124,320</w:t>
            </w:r>
          </w:p>
        </w:tc>
      </w:tr>
      <w:tr w:rsidR="007B4DE0" w14:paraId="0123A1CD" w14:textId="77777777" w:rsidTr="007B4DE0">
        <w:trPr>
          <w:trHeight w:val="319"/>
        </w:trPr>
        <w:tc>
          <w:tcPr>
            <w:tcW w:w="2491" w:type="dxa"/>
            <w:tcBorders>
              <w:top w:val="nil"/>
              <w:left w:val="nil"/>
              <w:bottom w:val="nil"/>
              <w:right w:val="nil"/>
            </w:tcBorders>
          </w:tcPr>
          <w:p w14:paraId="09B6873A" w14:textId="77777777" w:rsidR="007B4DE0" w:rsidRPr="007B4DE0" w:rsidRDefault="007B4DE0">
            <w:pPr>
              <w:autoSpaceDE w:val="0"/>
              <w:autoSpaceDN w:val="0"/>
              <w:adjustRightInd w:val="0"/>
              <w:jc w:val="left"/>
              <w:rPr>
                <w:rFonts w:asciiTheme="minorEastAsia" w:hAnsiTheme="minorEastAsia" w:cs="ＭＳ ゴシック"/>
                <w:color w:val="000000"/>
                <w:kern w:val="0"/>
                <w:sz w:val="20"/>
                <w:szCs w:val="20"/>
              </w:rPr>
            </w:pPr>
            <w:r w:rsidRPr="007B4DE0">
              <w:rPr>
                <w:rFonts w:asciiTheme="minorEastAsia" w:hAnsiTheme="minorEastAsia" w:cs="ＭＳ ゴシック" w:hint="eastAsia"/>
                <w:color w:val="000000"/>
                <w:kern w:val="0"/>
                <w:sz w:val="20"/>
                <w:szCs w:val="20"/>
              </w:rPr>
              <w:t xml:space="preserve">　売掛金および受取手形</w:t>
            </w:r>
          </w:p>
        </w:tc>
        <w:tc>
          <w:tcPr>
            <w:tcW w:w="977" w:type="dxa"/>
            <w:tcBorders>
              <w:top w:val="nil"/>
              <w:left w:val="nil"/>
              <w:bottom w:val="nil"/>
              <w:right w:val="nil"/>
            </w:tcBorders>
          </w:tcPr>
          <w:p w14:paraId="3A6E6A27"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29,289</w:t>
            </w:r>
          </w:p>
        </w:tc>
        <w:tc>
          <w:tcPr>
            <w:tcW w:w="977" w:type="dxa"/>
            <w:tcBorders>
              <w:top w:val="nil"/>
              <w:left w:val="nil"/>
              <w:bottom w:val="nil"/>
              <w:right w:val="nil"/>
            </w:tcBorders>
          </w:tcPr>
          <w:p w14:paraId="38EB28D8"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34,801</w:t>
            </w:r>
          </w:p>
        </w:tc>
        <w:tc>
          <w:tcPr>
            <w:tcW w:w="977" w:type="dxa"/>
            <w:tcBorders>
              <w:top w:val="nil"/>
              <w:left w:val="nil"/>
              <w:bottom w:val="nil"/>
              <w:right w:val="nil"/>
            </w:tcBorders>
          </w:tcPr>
          <w:p w14:paraId="308AB5AB"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42,664</w:t>
            </w:r>
          </w:p>
        </w:tc>
        <w:tc>
          <w:tcPr>
            <w:tcW w:w="976" w:type="dxa"/>
            <w:tcBorders>
              <w:top w:val="nil"/>
              <w:left w:val="nil"/>
              <w:bottom w:val="nil"/>
              <w:right w:val="nil"/>
            </w:tcBorders>
          </w:tcPr>
          <w:p w14:paraId="54683ABC"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36,340</w:t>
            </w:r>
          </w:p>
        </w:tc>
        <w:tc>
          <w:tcPr>
            <w:tcW w:w="977" w:type="dxa"/>
            <w:tcBorders>
              <w:top w:val="nil"/>
              <w:left w:val="nil"/>
              <w:bottom w:val="nil"/>
              <w:right w:val="nil"/>
            </w:tcBorders>
          </w:tcPr>
          <w:p w14:paraId="3DA2216D"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38,002</w:t>
            </w:r>
          </w:p>
        </w:tc>
        <w:tc>
          <w:tcPr>
            <w:tcW w:w="977" w:type="dxa"/>
            <w:tcBorders>
              <w:top w:val="nil"/>
              <w:left w:val="nil"/>
              <w:bottom w:val="nil"/>
              <w:right w:val="nil"/>
            </w:tcBorders>
          </w:tcPr>
          <w:p w14:paraId="0FE9385B"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44,376</w:t>
            </w:r>
          </w:p>
        </w:tc>
      </w:tr>
      <w:tr w:rsidR="007B4DE0" w14:paraId="0B13ED89" w14:textId="77777777" w:rsidTr="007B4DE0">
        <w:trPr>
          <w:trHeight w:val="319"/>
        </w:trPr>
        <w:tc>
          <w:tcPr>
            <w:tcW w:w="2491" w:type="dxa"/>
            <w:tcBorders>
              <w:top w:val="nil"/>
              <w:left w:val="nil"/>
              <w:bottom w:val="nil"/>
              <w:right w:val="nil"/>
            </w:tcBorders>
          </w:tcPr>
          <w:p w14:paraId="4F02E56D" w14:textId="77777777" w:rsidR="007B4DE0" w:rsidRPr="007B4DE0" w:rsidRDefault="007B4DE0">
            <w:pPr>
              <w:autoSpaceDE w:val="0"/>
              <w:autoSpaceDN w:val="0"/>
              <w:adjustRightInd w:val="0"/>
              <w:jc w:val="left"/>
              <w:rPr>
                <w:rFonts w:asciiTheme="minorEastAsia" w:hAnsiTheme="minorEastAsia" w:cs="ＭＳ Ｐゴシック"/>
                <w:color w:val="000000"/>
                <w:kern w:val="0"/>
                <w:sz w:val="20"/>
                <w:szCs w:val="20"/>
              </w:rPr>
            </w:pPr>
            <w:r w:rsidRPr="007B4DE0">
              <w:rPr>
                <w:rFonts w:asciiTheme="minorEastAsia" w:hAnsiTheme="minorEastAsia" w:cs="ＭＳ Ｐゴシック" w:hint="eastAsia"/>
                <w:color w:val="000000"/>
                <w:kern w:val="0"/>
                <w:sz w:val="20"/>
                <w:szCs w:val="20"/>
              </w:rPr>
              <w:t xml:space="preserve">　</w:t>
            </w:r>
            <w:r w:rsidRPr="007B4DE0">
              <w:rPr>
                <w:rFonts w:asciiTheme="minorEastAsia" w:hAnsiTheme="minorEastAsia" w:cs="ＭＳ Ｐゴシック"/>
                <w:color w:val="000000"/>
                <w:kern w:val="0"/>
                <w:sz w:val="20"/>
                <w:szCs w:val="20"/>
              </w:rPr>
              <w:t xml:space="preserve"> </w:t>
            </w:r>
            <w:r w:rsidRPr="007B4DE0">
              <w:rPr>
                <w:rFonts w:asciiTheme="minorEastAsia" w:hAnsiTheme="minorEastAsia" w:cs="ＭＳ Ｐゴシック" w:hint="eastAsia"/>
                <w:color w:val="000000"/>
                <w:kern w:val="0"/>
                <w:sz w:val="20"/>
                <w:szCs w:val="20"/>
              </w:rPr>
              <w:t>旅行前払金</w:t>
            </w:r>
          </w:p>
        </w:tc>
        <w:tc>
          <w:tcPr>
            <w:tcW w:w="977" w:type="dxa"/>
            <w:tcBorders>
              <w:top w:val="nil"/>
              <w:left w:val="nil"/>
              <w:bottom w:val="nil"/>
              <w:right w:val="nil"/>
            </w:tcBorders>
          </w:tcPr>
          <w:p w14:paraId="3D286A07"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43,899</w:t>
            </w:r>
          </w:p>
        </w:tc>
        <w:tc>
          <w:tcPr>
            <w:tcW w:w="977" w:type="dxa"/>
            <w:tcBorders>
              <w:top w:val="nil"/>
              <w:left w:val="nil"/>
              <w:bottom w:val="nil"/>
              <w:right w:val="nil"/>
            </w:tcBorders>
          </w:tcPr>
          <w:p w14:paraId="52787545"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36,095</w:t>
            </w:r>
          </w:p>
        </w:tc>
        <w:tc>
          <w:tcPr>
            <w:tcW w:w="977" w:type="dxa"/>
            <w:tcBorders>
              <w:top w:val="nil"/>
              <w:left w:val="nil"/>
              <w:bottom w:val="nil"/>
              <w:right w:val="nil"/>
            </w:tcBorders>
          </w:tcPr>
          <w:p w14:paraId="7237B307"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70,861</w:t>
            </w:r>
          </w:p>
        </w:tc>
        <w:tc>
          <w:tcPr>
            <w:tcW w:w="976" w:type="dxa"/>
            <w:tcBorders>
              <w:top w:val="nil"/>
              <w:left w:val="nil"/>
              <w:bottom w:val="nil"/>
              <w:right w:val="nil"/>
            </w:tcBorders>
          </w:tcPr>
          <w:p w14:paraId="5DDC0103"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52,102</w:t>
            </w:r>
          </w:p>
        </w:tc>
        <w:tc>
          <w:tcPr>
            <w:tcW w:w="977" w:type="dxa"/>
            <w:tcBorders>
              <w:top w:val="nil"/>
              <w:left w:val="nil"/>
              <w:bottom w:val="nil"/>
              <w:right w:val="nil"/>
            </w:tcBorders>
          </w:tcPr>
          <w:p w14:paraId="5C1FB877"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57,108</w:t>
            </w:r>
          </w:p>
        </w:tc>
        <w:tc>
          <w:tcPr>
            <w:tcW w:w="977" w:type="dxa"/>
            <w:tcBorders>
              <w:top w:val="nil"/>
              <w:left w:val="nil"/>
              <w:bottom w:val="nil"/>
              <w:right w:val="nil"/>
            </w:tcBorders>
          </w:tcPr>
          <w:p w14:paraId="47F4880B"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35,976</w:t>
            </w:r>
          </w:p>
        </w:tc>
      </w:tr>
      <w:tr w:rsidR="007B4DE0" w14:paraId="70265AA5" w14:textId="77777777" w:rsidTr="007B4DE0">
        <w:trPr>
          <w:trHeight w:val="319"/>
        </w:trPr>
        <w:tc>
          <w:tcPr>
            <w:tcW w:w="2491" w:type="dxa"/>
            <w:tcBorders>
              <w:top w:val="nil"/>
              <w:left w:val="nil"/>
              <w:bottom w:val="nil"/>
              <w:right w:val="nil"/>
            </w:tcBorders>
          </w:tcPr>
          <w:p w14:paraId="168C4497" w14:textId="77777777" w:rsidR="007B4DE0" w:rsidRPr="007B4DE0" w:rsidRDefault="007B4DE0">
            <w:pPr>
              <w:autoSpaceDE w:val="0"/>
              <w:autoSpaceDN w:val="0"/>
              <w:adjustRightInd w:val="0"/>
              <w:jc w:val="left"/>
              <w:rPr>
                <w:rFonts w:asciiTheme="minorEastAsia" w:hAnsiTheme="minorEastAsia" w:cs="Calibri"/>
                <w:color w:val="000000"/>
                <w:kern w:val="0"/>
                <w:sz w:val="20"/>
                <w:szCs w:val="20"/>
              </w:rPr>
            </w:pPr>
            <w:r w:rsidRPr="007B4DE0">
              <w:rPr>
                <w:rFonts w:asciiTheme="minorEastAsia" w:hAnsiTheme="minorEastAsia" w:cs="Calibri"/>
                <w:color w:val="000000"/>
                <w:kern w:val="0"/>
                <w:sz w:val="20"/>
                <w:szCs w:val="20"/>
              </w:rPr>
              <w:t>固定資産</w:t>
            </w:r>
          </w:p>
        </w:tc>
        <w:tc>
          <w:tcPr>
            <w:tcW w:w="977" w:type="dxa"/>
            <w:tcBorders>
              <w:top w:val="nil"/>
              <w:left w:val="nil"/>
              <w:bottom w:val="nil"/>
              <w:right w:val="nil"/>
            </w:tcBorders>
          </w:tcPr>
          <w:p w14:paraId="1E300197"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213,221</w:t>
            </w:r>
          </w:p>
        </w:tc>
        <w:tc>
          <w:tcPr>
            <w:tcW w:w="977" w:type="dxa"/>
            <w:tcBorders>
              <w:top w:val="nil"/>
              <w:left w:val="nil"/>
              <w:bottom w:val="nil"/>
              <w:right w:val="nil"/>
            </w:tcBorders>
          </w:tcPr>
          <w:p w14:paraId="32B9C231"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230,656</w:t>
            </w:r>
          </w:p>
        </w:tc>
        <w:tc>
          <w:tcPr>
            <w:tcW w:w="977" w:type="dxa"/>
            <w:tcBorders>
              <w:top w:val="nil"/>
              <w:left w:val="nil"/>
              <w:bottom w:val="nil"/>
              <w:right w:val="nil"/>
            </w:tcBorders>
          </w:tcPr>
          <w:p w14:paraId="1B5B9E74"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263,507</w:t>
            </w:r>
          </w:p>
        </w:tc>
        <w:tc>
          <w:tcPr>
            <w:tcW w:w="976" w:type="dxa"/>
            <w:tcBorders>
              <w:top w:val="nil"/>
              <w:left w:val="nil"/>
              <w:bottom w:val="nil"/>
              <w:right w:val="nil"/>
            </w:tcBorders>
          </w:tcPr>
          <w:p w14:paraId="24DA9B03"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228,951</w:t>
            </w:r>
          </w:p>
        </w:tc>
        <w:tc>
          <w:tcPr>
            <w:tcW w:w="977" w:type="dxa"/>
            <w:tcBorders>
              <w:top w:val="nil"/>
              <w:left w:val="nil"/>
              <w:bottom w:val="nil"/>
              <w:right w:val="nil"/>
            </w:tcBorders>
          </w:tcPr>
          <w:p w14:paraId="717997E1"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255,280</w:t>
            </w:r>
          </w:p>
        </w:tc>
        <w:tc>
          <w:tcPr>
            <w:tcW w:w="977" w:type="dxa"/>
            <w:tcBorders>
              <w:top w:val="nil"/>
              <w:left w:val="nil"/>
              <w:bottom w:val="nil"/>
              <w:right w:val="nil"/>
            </w:tcBorders>
          </w:tcPr>
          <w:p w14:paraId="60C4921D"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280,097</w:t>
            </w:r>
          </w:p>
        </w:tc>
      </w:tr>
      <w:tr w:rsidR="007B4DE0" w14:paraId="3F2EC34D" w14:textId="77777777" w:rsidTr="007B4DE0">
        <w:trPr>
          <w:trHeight w:val="319"/>
        </w:trPr>
        <w:tc>
          <w:tcPr>
            <w:tcW w:w="2491" w:type="dxa"/>
            <w:tcBorders>
              <w:top w:val="nil"/>
              <w:left w:val="nil"/>
              <w:bottom w:val="nil"/>
              <w:right w:val="nil"/>
            </w:tcBorders>
          </w:tcPr>
          <w:p w14:paraId="0A704C4E" w14:textId="01B2ACA0" w:rsidR="007B4DE0" w:rsidRPr="007B4DE0" w:rsidRDefault="007B4DE0" w:rsidP="001D30E8">
            <w:pPr>
              <w:autoSpaceDE w:val="0"/>
              <w:autoSpaceDN w:val="0"/>
              <w:adjustRightInd w:val="0"/>
              <w:ind w:firstLineChars="100" w:firstLine="200"/>
              <w:jc w:val="left"/>
              <w:rPr>
                <w:rFonts w:asciiTheme="minorEastAsia" w:hAnsiTheme="minorEastAsia" w:cs="ＭＳ Ｐゴシック"/>
                <w:color w:val="000000"/>
                <w:kern w:val="0"/>
                <w:sz w:val="20"/>
                <w:szCs w:val="20"/>
              </w:rPr>
            </w:pPr>
            <w:r w:rsidRPr="007B4DE0">
              <w:rPr>
                <w:rFonts w:asciiTheme="minorEastAsia" w:hAnsiTheme="minorEastAsia" w:cs="ＭＳ Ｐゴシック" w:hint="eastAsia"/>
                <w:color w:val="000000"/>
                <w:kern w:val="0"/>
                <w:sz w:val="20"/>
                <w:szCs w:val="20"/>
              </w:rPr>
              <w:t>建物・構築物</w:t>
            </w:r>
          </w:p>
        </w:tc>
        <w:tc>
          <w:tcPr>
            <w:tcW w:w="977" w:type="dxa"/>
            <w:tcBorders>
              <w:top w:val="nil"/>
              <w:left w:val="nil"/>
              <w:bottom w:val="nil"/>
              <w:right w:val="nil"/>
            </w:tcBorders>
          </w:tcPr>
          <w:p w14:paraId="112BF03B"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20,528</w:t>
            </w:r>
          </w:p>
        </w:tc>
        <w:tc>
          <w:tcPr>
            <w:tcW w:w="977" w:type="dxa"/>
            <w:tcBorders>
              <w:top w:val="nil"/>
              <w:left w:val="nil"/>
              <w:bottom w:val="nil"/>
              <w:right w:val="nil"/>
            </w:tcBorders>
          </w:tcPr>
          <w:p w14:paraId="5DABBB22"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26,521</w:t>
            </w:r>
          </w:p>
        </w:tc>
        <w:tc>
          <w:tcPr>
            <w:tcW w:w="977" w:type="dxa"/>
            <w:tcBorders>
              <w:top w:val="nil"/>
              <w:left w:val="nil"/>
              <w:bottom w:val="nil"/>
              <w:right w:val="nil"/>
            </w:tcBorders>
          </w:tcPr>
          <w:p w14:paraId="2036EDEE"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26,861</w:t>
            </w:r>
          </w:p>
        </w:tc>
        <w:tc>
          <w:tcPr>
            <w:tcW w:w="976" w:type="dxa"/>
            <w:tcBorders>
              <w:top w:val="nil"/>
              <w:left w:val="nil"/>
              <w:bottom w:val="nil"/>
              <w:right w:val="nil"/>
            </w:tcBorders>
          </w:tcPr>
          <w:p w14:paraId="7652907C"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67,834</w:t>
            </w:r>
          </w:p>
        </w:tc>
        <w:tc>
          <w:tcPr>
            <w:tcW w:w="977" w:type="dxa"/>
            <w:tcBorders>
              <w:top w:val="nil"/>
              <w:left w:val="nil"/>
              <w:bottom w:val="nil"/>
              <w:right w:val="nil"/>
            </w:tcBorders>
          </w:tcPr>
          <w:p w14:paraId="587DDAC2"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58,487</w:t>
            </w:r>
          </w:p>
        </w:tc>
        <w:tc>
          <w:tcPr>
            <w:tcW w:w="977" w:type="dxa"/>
            <w:tcBorders>
              <w:top w:val="nil"/>
              <w:left w:val="nil"/>
              <w:bottom w:val="nil"/>
              <w:right w:val="nil"/>
            </w:tcBorders>
          </w:tcPr>
          <w:p w14:paraId="6F3E2C1A"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67,508</w:t>
            </w:r>
          </w:p>
        </w:tc>
      </w:tr>
      <w:tr w:rsidR="007B4DE0" w14:paraId="0721A8B6" w14:textId="77777777" w:rsidTr="007B4DE0">
        <w:trPr>
          <w:trHeight w:val="319"/>
        </w:trPr>
        <w:tc>
          <w:tcPr>
            <w:tcW w:w="2491" w:type="dxa"/>
            <w:tcBorders>
              <w:top w:val="nil"/>
              <w:left w:val="nil"/>
              <w:bottom w:val="nil"/>
              <w:right w:val="nil"/>
            </w:tcBorders>
          </w:tcPr>
          <w:p w14:paraId="00074382" w14:textId="77777777" w:rsidR="007B4DE0" w:rsidRPr="007B4DE0" w:rsidRDefault="007B4DE0">
            <w:pPr>
              <w:autoSpaceDE w:val="0"/>
              <w:autoSpaceDN w:val="0"/>
              <w:adjustRightInd w:val="0"/>
              <w:jc w:val="left"/>
              <w:rPr>
                <w:rFonts w:asciiTheme="minorEastAsia" w:hAnsiTheme="minorEastAsia" w:cs="ＭＳ Ｐゴシック"/>
                <w:color w:val="000000"/>
                <w:kern w:val="0"/>
                <w:sz w:val="20"/>
                <w:szCs w:val="20"/>
              </w:rPr>
            </w:pPr>
            <w:r w:rsidRPr="007B4DE0">
              <w:rPr>
                <w:rFonts w:asciiTheme="minorEastAsia" w:hAnsiTheme="minorEastAsia" w:cs="ＭＳ Ｐゴシック" w:hint="eastAsia"/>
                <w:color w:val="000000"/>
                <w:kern w:val="0"/>
                <w:sz w:val="20"/>
                <w:szCs w:val="20"/>
              </w:rPr>
              <w:t xml:space="preserve">　土地</w:t>
            </w:r>
          </w:p>
        </w:tc>
        <w:tc>
          <w:tcPr>
            <w:tcW w:w="977" w:type="dxa"/>
            <w:tcBorders>
              <w:top w:val="nil"/>
              <w:left w:val="nil"/>
              <w:bottom w:val="nil"/>
              <w:right w:val="nil"/>
            </w:tcBorders>
          </w:tcPr>
          <w:p w14:paraId="31B5803C"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36,224</w:t>
            </w:r>
          </w:p>
        </w:tc>
        <w:tc>
          <w:tcPr>
            <w:tcW w:w="977" w:type="dxa"/>
            <w:tcBorders>
              <w:top w:val="nil"/>
              <w:left w:val="nil"/>
              <w:bottom w:val="nil"/>
              <w:right w:val="nil"/>
            </w:tcBorders>
          </w:tcPr>
          <w:p w14:paraId="1B054582"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36,162</w:t>
            </w:r>
          </w:p>
        </w:tc>
        <w:tc>
          <w:tcPr>
            <w:tcW w:w="977" w:type="dxa"/>
            <w:tcBorders>
              <w:top w:val="nil"/>
              <w:left w:val="nil"/>
              <w:bottom w:val="nil"/>
              <w:right w:val="nil"/>
            </w:tcBorders>
          </w:tcPr>
          <w:p w14:paraId="344846D2"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38,495</w:t>
            </w:r>
          </w:p>
        </w:tc>
        <w:tc>
          <w:tcPr>
            <w:tcW w:w="976" w:type="dxa"/>
            <w:tcBorders>
              <w:top w:val="nil"/>
              <w:left w:val="nil"/>
              <w:bottom w:val="nil"/>
              <w:right w:val="nil"/>
            </w:tcBorders>
          </w:tcPr>
          <w:p w14:paraId="53D1C1C7"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47,654</w:t>
            </w:r>
          </w:p>
        </w:tc>
        <w:tc>
          <w:tcPr>
            <w:tcW w:w="977" w:type="dxa"/>
            <w:tcBorders>
              <w:top w:val="nil"/>
              <w:left w:val="nil"/>
              <w:bottom w:val="nil"/>
              <w:right w:val="nil"/>
            </w:tcBorders>
          </w:tcPr>
          <w:p w14:paraId="3103C0D1"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48,888</w:t>
            </w:r>
          </w:p>
        </w:tc>
        <w:tc>
          <w:tcPr>
            <w:tcW w:w="977" w:type="dxa"/>
            <w:tcBorders>
              <w:top w:val="nil"/>
              <w:left w:val="nil"/>
              <w:bottom w:val="nil"/>
              <w:right w:val="nil"/>
            </w:tcBorders>
          </w:tcPr>
          <w:p w14:paraId="7808DD60"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75,570</w:t>
            </w:r>
          </w:p>
        </w:tc>
      </w:tr>
      <w:tr w:rsidR="007B4DE0" w14:paraId="6027D205" w14:textId="77777777" w:rsidTr="007B4DE0">
        <w:trPr>
          <w:trHeight w:val="319"/>
        </w:trPr>
        <w:tc>
          <w:tcPr>
            <w:tcW w:w="2491" w:type="dxa"/>
            <w:tcBorders>
              <w:top w:val="nil"/>
              <w:left w:val="nil"/>
              <w:bottom w:val="single" w:sz="6" w:space="0" w:color="auto"/>
              <w:right w:val="nil"/>
            </w:tcBorders>
          </w:tcPr>
          <w:p w14:paraId="3151F2E9" w14:textId="77777777" w:rsidR="007B4DE0" w:rsidRPr="007B4DE0" w:rsidRDefault="007B4DE0">
            <w:pPr>
              <w:autoSpaceDE w:val="0"/>
              <w:autoSpaceDN w:val="0"/>
              <w:adjustRightInd w:val="0"/>
              <w:jc w:val="left"/>
              <w:rPr>
                <w:rFonts w:asciiTheme="minorEastAsia" w:hAnsiTheme="minorEastAsia" w:cs="Calibri"/>
                <w:color w:val="000000"/>
                <w:kern w:val="0"/>
                <w:sz w:val="20"/>
                <w:szCs w:val="20"/>
              </w:rPr>
            </w:pPr>
            <w:r w:rsidRPr="007B4DE0">
              <w:rPr>
                <w:rFonts w:asciiTheme="minorEastAsia" w:hAnsiTheme="minorEastAsia" w:cs="Calibri"/>
                <w:color w:val="000000"/>
                <w:kern w:val="0"/>
                <w:sz w:val="20"/>
                <w:szCs w:val="20"/>
              </w:rPr>
              <w:t>総資産</w:t>
            </w:r>
          </w:p>
        </w:tc>
        <w:tc>
          <w:tcPr>
            <w:tcW w:w="977" w:type="dxa"/>
            <w:tcBorders>
              <w:top w:val="nil"/>
              <w:left w:val="nil"/>
              <w:bottom w:val="single" w:sz="6" w:space="0" w:color="auto"/>
              <w:right w:val="nil"/>
            </w:tcBorders>
          </w:tcPr>
          <w:p w14:paraId="2FE08F3D"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572,265</w:t>
            </w:r>
          </w:p>
        </w:tc>
        <w:tc>
          <w:tcPr>
            <w:tcW w:w="977" w:type="dxa"/>
            <w:tcBorders>
              <w:top w:val="nil"/>
              <w:left w:val="nil"/>
              <w:bottom w:val="single" w:sz="6" w:space="0" w:color="auto"/>
              <w:right w:val="nil"/>
            </w:tcBorders>
          </w:tcPr>
          <w:p w14:paraId="54E3F2A6"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570,336</w:t>
            </w:r>
          </w:p>
        </w:tc>
        <w:tc>
          <w:tcPr>
            <w:tcW w:w="977" w:type="dxa"/>
            <w:tcBorders>
              <w:top w:val="nil"/>
              <w:left w:val="nil"/>
              <w:bottom w:val="single" w:sz="6" w:space="0" w:color="auto"/>
              <w:right w:val="nil"/>
            </w:tcBorders>
          </w:tcPr>
          <w:p w14:paraId="47E09BD4"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638,714</w:t>
            </w:r>
          </w:p>
        </w:tc>
        <w:tc>
          <w:tcPr>
            <w:tcW w:w="976" w:type="dxa"/>
            <w:tcBorders>
              <w:top w:val="nil"/>
              <w:left w:val="nil"/>
              <w:bottom w:val="single" w:sz="6" w:space="0" w:color="auto"/>
              <w:right w:val="nil"/>
            </w:tcBorders>
          </w:tcPr>
          <w:p w14:paraId="0EC6DF79"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577,399</w:t>
            </w:r>
          </w:p>
        </w:tc>
        <w:tc>
          <w:tcPr>
            <w:tcW w:w="977" w:type="dxa"/>
            <w:tcBorders>
              <w:top w:val="nil"/>
              <w:left w:val="nil"/>
              <w:bottom w:val="single" w:sz="6" w:space="0" w:color="auto"/>
              <w:right w:val="nil"/>
            </w:tcBorders>
          </w:tcPr>
          <w:p w14:paraId="7E77D50F"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577,884</w:t>
            </w:r>
          </w:p>
        </w:tc>
        <w:tc>
          <w:tcPr>
            <w:tcW w:w="977" w:type="dxa"/>
            <w:tcBorders>
              <w:top w:val="nil"/>
              <w:left w:val="nil"/>
              <w:bottom w:val="single" w:sz="6" w:space="0" w:color="auto"/>
              <w:right w:val="nil"/>
            </w:tcBorders>
          </w:tcPr>
          <w:p w14:paraId="563591D1" w14:textId="77777777" w:rsidR="007B4DE0" w:rsidRPr="00C74F0E" w:rsidRDefault="007B4DE0">
            <w:pPr>
              <w:autoSpaceDE w:val="0"/>
              <w:autoSpaceDN w:val="0"/>
              <w:adjustRightInd w:val="0"/>
              <w:jc w:val="right"/>
              <w:rPr>
                <w:rFonts w:ascii="Century" w:eastAsia="ＭＳ Ｐゴシック" w:hAnsi="Century" w:cs="Calibri"/>
                <w:color w:val="000000"/>
                <w:kern w:val="0"/>
                <w:sz w:val="20"/>
                <w:szCs w:val="20"/>
              </w:rPr>
            </w:pPr>
            <w:r w:rsidRPr="00C74F0E">
              <w:rPr>
                <w:rFonts w:ascii="Century" w:eastAsia="ＭＳ Ｐゴシック" w:hAnsi="Century" w:cs="Calibri"/>
                <w:color w:val="000000"/>
                <w:kern w:val="0"/>
                <w:sz w:val="20"/>
                <w:szCs w:val="20"/>
              </w:rPr>
              <w:t>488,089</w:t>
            </w:r>
          </w:p>
        </w:tc>
      </w:tr>
    </w:tbl>
    <w:p w14:paraId="58720C94" w14:textId="07A30933" w:rsidR="007B4DE0" w:rsidRDefault="007B4DE0" w:rsidP="007B4DE0">
      <w:r>
        <w:rPr>
          <w:rFonts w:hint="eastAsia"/>
        </w:rPr>
        <w:t>出典：</w:t>
      </w:r>
      <w:r w:rsidRPr="00DD0703">
        <w:rPr>
          <w:rFonts w:hint="eastAsia"/>
        </w:rPr>
        <w:t>エイチ・アイ・エス</w:t>
      </w:r>
      <w:r>
        <w:rPr>
          <w:rFonts w:hint="eastAsia"/>
        </w:rPr>
        <w:t>社「四半期報告書」より筆者作成。</w:t>
      </w:r>
      <w:r w:rsidR="00B15EF4">
        <w:rPr>
          <w:rFonts w:hint="eastAsia"/>
        </w:rPr>
        <w:t>単位は百万円。</w:t>
      </w:r>
    </w:p>
    <w:p w14:paraId="7F64019C" w14:textId="3A9EB063" w:rsidR="007B4DE0" w:rsidRPr="007B4DE0" w:rsidRDefault="007B4DE0" w:rsidP="008D3845"/>
    <w:p w14:paraId="74E1A366" w14:textId="73975D88" w:rsidR="007B4DE0" w:rsidRDefault="007B4DE0" w:rsidP="008D3845"/>
    <w:p w14:paraId="10EC2C09" w14:textId="4F621209" w:rsidR="007B4DE0" w:rsidRDefault="007B4DE0" w:rsidP="008D3845"/>
    <w:p w14:paraId="005AC907" w14:textId="35DEB848" w:rsidR="007B4DE0" w:rsidRDefault="007B4DE0" w:rsidP="008D3845"/>
    <w:p w14:paraId="3C50787A" w14:textId="762AABC5" w:rsidR="007B4DE0" w:rsidRDefault="007B4DE0" w:rsidP="008D3845"/>
    <w:p w14:paraId="5E0CA165" w14:textId="2BBF8903" w:rsidR="007B4DE0" w:rsidRDefault="007B4DE0" w:rsidP="008D3845"/>
    <w:p w14:paraId="6DF811C7" w14:textId="77777777" w:rsidR="00C61B06" w:rsidRDefault="00C61B06" w:rsidP="008D3845"/>
    <w:p w14:paraId="0E3F1756" w14:textId="0A94B0CE" w:rsidR="007B4DE0" w:rsidRPr="007B4DE0" w:rsidRDefault="007B4DE0" w:rsidP="007B4DE0">
      <w:pPr>
        <w:widowControl/>
        <w:jc w:val="left"/>
      </w:pPr>
      <w:r>
        <w:rPr>
          <w:rFonts w:hint="eastAsia"/>
        </w:rPr>
        <w:t>表</w:t>
      </w:r>
      <w:r>
        <w:t>13</w:t>
      </w:r>
      <w:r>
        <w:rPr>
          <w:rFonts w:hint="eastAsia"/>
        </w:rPr>
        <w:t xml:space="preserve">　</w:t>
      </w:r>
      <w:r w:rsidRPr="00DD0703">
        <w:rPr>
          <w:rFonts w:hint="eastAsia"/>
        </w:rPr>
        <w:t>エイチ・アイ・エス</w:t>
      </w:r>
      <w:r>
        <w:rPr>
          <w:rFonts w:hint="eastAsia"/>
        </w:rPr>
        <w:t>社の負債・純資産の部（四半期）</w:t>
      </w:r>
    </w:p>
    <w:tbl>
      <w:tblPr>
        <w:tblW w:w="0" w:type="auto"/>
        <w:tblInd w:w="-30" w:type="dxa"/>
        <w:tblLayout w:type="fixed"/>
        <w:tblCellMar>
          <w:left w:w="99" w:type="dxa"/>
          <w:right w:w="99" w:type="dxa"/>
        </w:tblCellMar>
        <w:tblLook w:val="0000" w:firstRow="0" w:lastRow="0" w:firstColumn="0" w:lastColumn="0" w:noHBand="0" w:noVBand="0"/>
      </w:tblPr>
      <w:tblGrid>
        <w:gridCol w:w="2440"/>
        <w:gridCol w:w="1028"/>
        <w:gridCol w:w="977"/>
        <w:gridCol w:w="977"/>
        <w:gridCol w:w="976"/>
        <w:gridCol w:w="977"/>
        <w:gridCol w:w="977"/>
      </w:tblGrid>
      <w:tr w:rsidR="007B4DE0" w14:paraId="594FAACF" w14:textId="77777777" w:rsidTr="007B4DE0">
        <w:trPr>
          <w:trHeight w:val="319"/>
        </w:trPr>
        <w:tc>
          <w:tcPr>
            <w:tcW w:w="2440" w:type="dxa"/>
            <w:tcBorders>
              <w:top w:val="single" w:sz="6" w:space="0" w:color="auto"/>
              <w:left w:val="nil"/>
              <w:bottom w:val="single" w:sz="6" w:space="0" w:color="000000"/>
              <w:right w:val="nil"/>
            </w:tcBorders>
          </w:tcPr>
          <w:p w14:paraId="476591C4" w14:textId="6B722548" w:rsidR="007B4DE0" w:rsidRPr="007B4DE0" w:rsidRDefault="007B4DE0" w:rsidP="007B4DE0">
            <w:pPr>
              <w:autoSpaceDE w:val="0"/>
              <w:autoSpaceDN w:val="0"/>
              <w:adjustRightInd w:val="0"/>
              <w:jc w:val="left"/>
              <w:rPr>
                <w:rFonts w:ascii="Calibri" w:hAnsi="Calibri" w:cs="Calibri"/>
                <w:b/>
                <w:bCs/>
                <w:color w:val="000000"/>
                <w:kern w:val="0"/>
                <w:sz w:val="20"/>
                <w:szCs w:val="20"/>
              </w:rPr>
            </w:pPr>
            <w:r w:rsidRPr="007B4DE0">
              <w:rPr>
                <w:rFonts w:asciiTheme="minorEastAsia" w:hAnsiTheme="minorEastAsia" w:cs="Calibri"/>
                <w:b/>
                <w:bCs/>
                <w:color w:val="000000"/>
                <w:kern w:val="0"/>
                <w:sz w:val="20"/>
                <w:szCs w:val="20"/>
              </w:rPr>
              <w:t>負債・純資産</w:t>
            </w:r>
            <w:r w:rsidRPr="007B4DE0">
              <w:rPr>
                <w:rFonts w:asciiTheme="minorEastAsia" w:hAnsiTheme="minorEastAsia" w:cs="Calibri" w:hint="eastAsia"/>
                <w:b/>
                <w:bCs/>
                <w:color w:val="000000"/>
                <w:kern w:val="0"/>
                <w:sz w:val="20"/>
                <w:szCs w:val="20"/>
              </w:rPr>
              <w:t>の部</w:t>
            </w:r>
          </w:p>
        </w:tc>
        <w:tc>
          <w:tcPr>
            <w:tcW w:w="1028" w:type="dxa"/>
            <w:tcBorders>
              <w:top w:val="single" w:sz="6" w:space="0" w:color="000000"/>
              <w:left w:val="nil"/>
              <w:bottom w:val="single" w:sz="6" w:space="0" w:color="000000"/>
              <w:right w:val="nil"/>
            </w:tcBorders>
          </w:tcPr>
          <w:p w14:paraId="1E95D423" w14:textId="77777777" w:rsidR="007B4DE0" w:rsidRPr="00C74F0E" w:rsidRDefault="007B4DE0">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19.Q1</w:t>
            </w:r>
          </w:p>
        </w:tc>
        <w:tc>
          <w:tcPr>
            <w:tcW w:w="977" w:type="dxa"/>
            <w:tcBorders>
              <w:top w:val="single" w:sz="6" w:space="0" w:color="000000"/>
              <w:left w:val="nil"/>
              <w:bottom w:val="single" w:sz="6" w:space="0" w:color="000000"/>
              <w:right w:val="nil"/>
            </w:tcBorders>
          </w:tcPr>
          <w:p w14:paraId="74F80493" w14:textId="77777777" w:rsidR="007B4DE0" w:rsidRPr="00C74F0E" w:rsidRDefault="007B4DE0">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19.Q2</w:t>
            </w:r>
          </w:p>
        </w:tc>
        <w:tc>
          <w:tcPr>
            <w:tcW w:w="977" w:type="dxa"/>
            <w:tcBorders>
              <w:top w:val="single" w:sz="6" w:space="0" w:color="000000"/>
              <w:left w:val="nil"/>
              <w:bottom w:val="single" w:sz="6" w:space="0" w:color="000000"/>
              <w:right w:val="nil"/>
            </w:tcBorders>
          </w:tcPr>
          <w:p w14:paraId="69D46EA4" w14:textId="77777777" w:rsidR="007B4DE0" w:rsidRPr="00C74F0E" w:rsidRDefault="007B4DE0">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19.Q3</w:t>
            </w:r>
          </w:p>
        </w:tc>
        <w:tc>
          <w:tcPr>
            <w:tcW w:w="976" w:type="dxa"/>
            <w:tcBorders>
              <w:top w:val="single" w:sz="6" w:space="0" w:color="000000"/>
              <w:left w:val="nil"/>
              <w:bottom w:val="single" w:sz="6" w:space="0" w:color="000000"/>
              <w:right w:val="nil"/>
            </w:tcBorders>
          </w:tcPr>
          <w:p w14:paraId="15A57182" w14:textId="77777777" w:rsidR="007B4DE0" w:rsidRPr="00C74F0E" w:rsidRDefault="007B4DE0">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19.Q4</w:t>
            </w:r>
          </w:p>
        </w:tc>
        <w:tc>
          <w:tcPr>
            <w:tcW w:w="977" w:type="dxa"/>
            <w:tcBorders>
              <w:top w:val="single" w:sz="6" w:space="0" w:color="000000"/>
              <w:left w:val="nil"/>
              <w:bottom w:val="single" w:sz="6" w:space="0" w:color="000000"/>
              <w:right w:val="nil"/>
            </w:tcBorders>
          </w:tcPr>
          <w:p w14:paraId="0700393C" w14:textId="77777777" w:rsidR="007B4DE0" w:rsidRPr="00C74F0E" w:rsidRDefault="007B4DE0">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20.Q1</w:t>
            </w:r>
          </w:p>
        </w:tc>
        <w:tc>
          <w:tcPr>
            <w:tcW w:w="977" w:type="dxa"/>
            <w:tcBorders>
              <w:top w:val="single" w:sz="6" w:space="0" w:color="000000"/>
              <w:left w:val="nil"/>
              <w:bottom w:val="single" w:sz="6" w:space="0" w:color="000000"/>
              <w:right w:val="nil"/>
            </w:tcBorders>
          </w:tcPr>
          <w:p w14:paraId="2EA05E55" w14:textId="77777777" w:rsidR="007B4DE0" w:rsidRPr="00C74F0E" w:rsidRDefault="007B4DE0">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20.Q2</w:t>
            </w:r>
          </w:p>
        </w:tc>
      </w:tr>
      <w:tr w:rsidR="007B4DE0" w14:paraId="7A51C5C6" w14:textId="77777777" w:rsidTr="007B4DE0">
        <w:trPr>
          <w:trHeight w:val="319"/>
        </w:trPr>
        <w:tc>
          <w:tcPr>
            <w:tcW w:w="2440" w:type="dxa"/>
            <w:tcBorders>
              <w:top w:val="nil"/>
              <w:left w:val="nil"/>
              <w:bottom w:val="nil"/>
              <w:right w:val="nil"/>
            </w:tcBorders>
          </w:tcPr>
          <w:p w14:paraId="47F99BF0" w14:textId="77777777" w:rsidR="007B4DE0" w:rsidRPr="007B4DE0" w:rsidRDefault="007B4DE0">
            <w:pPr>
              <w:autoSpaceDE w:val="0"/>
              <w:autoSpaceDN w:val="0"/>
              <w:adjustRightInd w:val="0"/>
              <w:jc w:val="left"/>
              <w:rPr>
                <w:rFonts w:asciiTheme="minorEastAsia" w:hAnsiTheme="minorEastAsia" w:cs="Calibri"/>
                <w:color w:val="000000"/>
                <w:kern w:val="0"/>
                <w:sz w:val="20"/>
                <w:szCs w:val="20"/>
              </w:rPr>
            </w:pPr>
            <w:r w:rsidRPr="007B4DE0">
              <w:rPr>
                <w:rFonts w:asciiTheme="minorEastAsia" w:hAnsiTheme="minorEastAsia" w:cs="Calibri"/>
                <w:color w:val="000000"/>
                <w:kern w:val="0"/>
                <w:sz w:val="20"/>
                <w:szCs w:val="20"/>
              </w:rPr>
              <w:t>負債</w:t>
            </w:r>
          </w:p>
        </w:tc>
        <w:tc>
          <w:tcPr>
            <w:tcW w:w="1028" w:type="dxa"/>
            <w:tcBorders>
              <w:top w:val="nil"/>
              <w:left w:val="nil"/>
              <w:bottom w:val="nil"/>
              <w:right w:val="nil"/>
            </w:tcBorders>
          </w:tcPr>
          <w:p w14:paraId="4DE016BC" w14:textId="77777777" w:rsidR="007B4DE0" w:rsidRPr="00C74F0E" w:rsidRDefault="007B4DE0">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454,822</w:t>
            </w:r>
          </w:p>
        </w:tc>
        <w:tc>
          <w:tcPr>
            <w:tcW w:w="977" w:type="dxa"/>
            <w:tcBorders>
              <w:top w:val="nil"/>
              <w:left w:val="nil"/>
              <w:bottom w:val="nil"/>
              <w:right w:val="nil"/>
            </w:tcBorders>
          </w:tcPr>
          <w:p w14:paraId="28D50E41" w14:textId="77777777" w:rsidR="007B4DE0" w:rsidRPr="00C74F0E" w:rsidRDefault="007B4DE0">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454,375</w:t>
            </w:r>
          </w:p>
        </w:tc>
        <w:tc>
          <w:tcPr>
            <w:tcW w:w="977" w:type="dxa"/>
            <w:tcBorders>
              <w:top w:val="nil"/>
              <w:left w:val="nil"/>
              <w:bottom w:val="nil"/>
              <w:right w:val="nil"/>
            </w:tcBorders>
          </w:tcPr>
          <w:p w14:paraId="109092EE" w14:textId="77777777" w:rsidR="007B4DE0" w:rsidRPr="00C74F0E" w:rsidRDefault="007B4DE0">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517,677</w:t>
            </w:r>
          </w:p>
        </w:tc>
        <w:tc>
          <w:tcPr>
            <w:tcW w:w="976" w:type="dxa"/>
            <w:tcBorders>
              <w:top w:val="nil"/>
              <w:left w:val="nil"/>
              <w:bottom w:val="nil"/>
              <w:right w:val="nil"/>
            </w:tcBorders>
          </w:tcPr>
          <w:p w14:paraId="15617A99" w14:textId="77777777" w:rsidR="007B4DE0" w:rsidRPr="00C74F0E" w:rsidRDefault="007B4DE0">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453,490</w:t>
            </w:r>
          </w:p>
        </w:tc>
        <w:tc>
          <w:tcPr>
            <w:tcW w:w="977" w:type="dxa"/>
            <w:tcBorders>
              <w:top w:val="nil"/>
              <w:left w:val="nil"/>
              <w:bottom w:val="nil"/>
              <w:right w:val="nil"/>
            </w:tcBorders>
          </w:tcPr>
          <w:p w14:paraId="57A8F3A8" w14:textId="77777777" w:rsidR="007B4DE0" w:rsidRPr="00C74F0E" w:rsidRDefault="007B4DE0">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451,577</w:t>
            </w:r>
          </w:p>
        </w:tc>
        <w:tc>
          <w:tcPr>
            <w:tcW w:w="977" w:type="dxa"/>
            <w:tcBorders>
              <w:top w:val="nil"/>
              <w:left w:val="nil"/>
              <w:bottom w:val="nil"/>
              <w:right w:val="nil"/>
            </w:tcBorders>
          </w:tcPr>
          <w:p w14:paraId="07985717" w14:textId="77777777" w:rsidR="007B4DE0" w:rsidRPr="00C74F0E" w:rsidRDefault="007B4DE0">
            <w:pPr>
              <w:autoSpaceDE w:val="0"/>
              <w:autoSpaceDN w:val="0"/>
              <w:adjustRightInd w:val="0"/>
              <w:jc w:val="right"/>
              <w:rPr>
                <w:rFonts w:ascii="Century" w:hAnsi="Century" w:cs="Calibri"/>
                <w:color w:val="000000"/>
                <w:kern w:val="0"/>
                <w:sz w:val="20"/>
                <w:szCs w:val="20"/>
              </w:rPr>
            </w:pPr>
            <w:r w:rsidRPr="00C74F0E">
              <w:rPr>
                <w:rFonts w:ascii="Century" w:hAnsi="Century" w:cs="Calibri"/>
                <w:color w:val="000000"/>
                <w:kern w:val="0"/>
                <w:sz w:val="20"/>
                <w:szCs w:val="20"/>
              </w:rPr>
              <w:t>370,457</w:t>
            </w:r>
          </w:p>
        </w:tc>
      </w:tr>
      <w:tr w:rsidR="007B4DE0" w14:paraId="732BE0E8" w14:textId="77777777" w:rsidTr="007B4DE0">
        <w:trPr>
          <w:trHeight w:val="319"/>
        </w:trPr>
        <w:tc>
          <w:tcPr>
            <w:tcW w:w="2440" w:type="dxa"/>
            <w:tcBorders>
              <w:top w:val="nil"/>
              <w:left w:val="nil"/>
              <w:bottom w:val="nil"/>
              <w:right w:val="nil"/>
            </w:tcBorders>
          </w:tcPr>
          <w:p w14:paraId="2E1D3484" w14:textId="77777777" w:rsidR="007B4DE0" w:rsidRPr="007B4DE0" w:rsidRDefault="007B4DE0">
            <w:pPr>
              <w:autoSpaceDE w:val="0"/>
              <w:autoSpaceDN w:val="0"/>
              <w:adjustRightInd w:val="0"/>
              <w:jc w:val="left"/>
              <w:rPr>
                <w:rFonts w:asciiTheme="minorEastAsia" w:hAnsiTheme="minorEastAsia" w:cs="ＭＳ ゴシック"/>
                <w:color w:val="000000"/>
                <w:kern w:val="0"/>
                <w:sz w:val="20"/>
                <w:szCs w:val="20"/>
              </w:rPr>
            </w:pPr>
            <w:r w:rsidRPr="007B4DE0">
              <w:rPr>
                <w:rFonts w:asciiTheme="minorEastAsia" w:hAnsiTheme="minorEastAsia" w:cs="ＭＳ ゴシック" w:hint="eastAsia"/>
                <w:color w:val="000000"/>
                <w:kern w:val="0"/>
                <w:sz w:val="20"/>
                <w:szCs w:val="20"/>
              </w:rPr>
              <w:t xml:space="preserve">　流動負債</w:t>
            </w:r>
          </w:p>
        </w:tc>
        <w:tc>
          <w:tcPr>
            <w:tcW w:w="1028" w:type="dxa"/>
            <w:tcBorders>
              <w:top w:val="nil"/>
              <w:left w:val="nil"/>
              <w:bottom w:val="nil"/>
              <w:right w:val="nil"/>
            </w:tcBorders>
          </w:tcPr>
          <w:p w14:paraId="317481E6"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254,454</w:t>
            </w:r>
          </w:p>
        </w:tc>
        <w:tc>
          <w:tcPr>
            <w:tcW w:w="977" w:type="dxa"/>
            <w:tcBorders>
              <w:top w:val="nil"/>
              <w:left w:val="nil"/>
              <w:bottom w:val="nil"/>
              <w:right w:val="nil"/>
            </w:tcBorders>
          </w:tcPr>
          <w:p w14:paraId="5DA81524"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259,650</w:t>
            </w:r>
          </w:p>
        </w:tc>
        <w:tc>
          <w:tcPr>
            <w:tcW w:w="977" w:type="dxa"/>
            <w:tcBorders>
              <w:top w:val="nil"/>
              <w:left w:val="nil"/>
              <w:bottom w:val="nil"/>
              <w:right w:val="nil"/>
            </w:tcBorders>
          </w:tcPr>
          <w:p w14:paraId="143FF5F3"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302,124</w:t>
            </w:r>
          </w:p>
        </w:tc>
        <w:tc>
          <w:tcPr>
            <w:tcW w:w="976" w:type="dxa"/>
            <w:tcBorders>
              <w:top w:val="nil"/>
              <w:left w:val="nil"/>
              <w:bottom w:val="nil"/>
              <w:right w:val="nil"/>
            </w:tcBorders>
          </w:tcPr>
          <w:p w14:paraId="74CB2605"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231,572</w:t>
            </w:r>
          </w:p>
        </w:tc>
        <w:tc>
          <w:tcPr>
            <w:tcW w:w="977" w:type="dxa"/>
            <w:tcBorders>
              <w:top w:val="nil"/>
              <w:left w:val="nil"/>
              <w:bottom w:val="nil"/>
              <w:right w:val="nil"/>
            </w:tcBorders>
          </w:tcPr>
          <w:p w14:paraId="307E773E"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217,777</w:t>
            </w:r>
          </w:p>
        </w:tc>
        <w:tc>
          <w:tcPr>
            <w:tcW w:w="977" w:type="dxa"/>
            <w:tcBorders>
              <w:top w:val="nil"/>
              <w:left w:val="nil"/>
              <w:bottom w:val="nil"/>
              <w:right w:val="nil"/>
            </w:tcBorders>
          </w:tcPr>
          <w:p w14:paraId="7EB14EE0"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134,355</w:t>
            </w:r>
          </w:p>
        </w:tc>
      </w:tr>
      <w:tr w:rsidR="007B4DE0" w14:paraId="2C52EFA7" w14:textId="77777777" w:rsidTr="007B4DE0">
        <w:trPr>
          <w:trHeight w:val="319"/>
        </w:trPr>
        <w:tc>
          <w:tcPr>
            <w:tcW w:w="2440" w:type="dxa"/>
            <w:tcBorders>
              <w:top w:val="nil"/>
              <w:left w:val="nil"/>
              <w:bottom w:val="nil"/>
              <w:right w:val="nil"/>
            </w:tcBorders>
          </w:tcPr>
          <w:p w14:paraId="75601618" w14:textId="77777777" w:rsidR="007B4DE0" w:rsidRPr="007B4DE0" w:rsidRDefault="007B4DE0">
            <w:pPr>
              <w:autoSpaceDE w:val="0"/>
              <w:autoSpaceDN w:val="0"/>
              <w:adjustRightInd w:val="0"/>
              <w:jc w:val="left"/>
              <w:rPr>
                <w:rFonts w:asciiTheme="minorEastAsia" w:hAnsiTheme="minorEastAsia" w:cs="ＭＳ ゴシック"/>
                <w:color w:val="000000"/>
                <w:kern w:val="0"/>
                <w:sz w:val="20"/>
                <w:szCs w:val="20"/>
              </w:rPr>
            </w:pPr>
            <w:r w:rsidRPr="007B4DE0">
              <w:rPr>
                <w:rFonts w:asciiTheme="minorEastAsia" w:hAnsiTheme="minorEastAsia" w:cs="ＭＳ ゴシック" w:hint="eastAsia"/>
                <w:color w:val="000000"/>
                <w:kern w:val="0"/>
                <w:sz w:val="20"/>
                <w:szCs w:val="20"/>
              </w:rPr>
              <w:t xml:space="preserve">　　短期借入金</w:t>
            </w:r>
          </w:p>
        </w:tc>
        <w:tc>
          <w:tcPr>
            <w:tcW w:w="1028" w:type="dxa"/>
            <w:tcBorders>
              <w:top w:val="nil"/>
              <w:left w:val="nil"/>
              <w:bottom w:val="nil"/>
              <w:right w:val="nil"/>
            </w:tcBorders>
          </w:tcPr>
          <w:p w14:paraId="023C93A1"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24,548</w:t>
            </w:r>
          </w:p>
        </w:tc>
        <w:tc>
          <w:tcPr>
            <w:tcW w:w="977" w:type="dxa"/>
            <w:tcBorders>
              <w:top w:val="nil"/>
              <w:left w:val="nil"/>
              <w:bottom w:val="nil"/>
              <w:right w:val="nil"/>
            </w:tcBorders>
          </w:tcPr>
          <w:p w14:paraId="68F8332B"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25,895</w:t>
            </w:r>
          </w:p>
        </w:tc>
        <w:tc>
          <w:tcPr>
            <w:tcW w:w="977" w:type="dxa"/>
            <w:tcBorders>
              <w:top w:val="nil"/>
              <w:left w:val="nil"/>
              <w:bottom w:val="nil"/>
              <w:right w:val="nil"/>
            </w:tcBorders>
          </w:tcPr>
          <w:p w14:paraId="14CFF4DC"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25,810</w:t>
            </w:r>
          </w:p>
        </w:tc>
        <w:tc>
          <w:tcPr>
            <w:tcW w:w="976" w:type="dxa"/>
            <w:tcBorders>
              <w:top w:val="nil"/>
              <w:left w:val="nil"/>
              <w:bottom w:val="nil"/>
              <w:right w:val="nil"/>
            </w:tcBorders>
          </w:tcPr>
          <w:p w14:paraId="08F1462F"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6,903</w:t>
            </w:r>
          </w:p>
        </w:tc>
        <w:tc>
          <w:tcPr>
            <w:tcW w:w="977" w:type="dxa"/>
            <w:tcBorders>
              <w:top w:val="nil"/>
              <w:left w:val="nil"/>
              <w:bottom w:val="nil"/>
              <w:right w:val="nil"/>
            </w:tcBorders>
          </w:tcPr>
          <w:p w14:paraId="2B1E3DA3"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5,063</w:t>
            </w:r>
          </w:p>
        </w:tc>
        <w:tc>
          <w:tcPr>
            <w:tcW w:w="977" w:type="dxa"/>
            <w:tcBorders>
              <w:top w:val="nil"/>
              <w:left w:val="nil"/>
              <w:bottom w:val="nil"/>
              <w:right w:val="nil"/>
            </w:tcBorders>
          </w:tcPr>
          <w:p w14:paraId="422F5169"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5,557</w:t>
            </w:r>
          </w:p>
        </w:tc>
      </w:tr>
      <w:tr w:rsidR="007B4DE0" w14:paraId="7E57595D" w14:textId="77777777" w:rsidTr="007B4DE0">
        <w:trPr>
          <w:trHeight w:val="319"/>
        </w:trPr>
        <w:tc>
          <w:tcPr>
            <w:tcW w:w="2440" w:type="dxa"/>
            <w:tcBorders>
              <w:top w:val="nil"/>
              <w:left w:val="nil"/>
              <w:bottom w:val="nil"/>
              <w:right w:val="nil"/>
            </w:tcBorders>
          </w:tcPr>
          <w:p w14:paraId="04C0B097" w14:textId="77777777" w:rsidR="007B4DE0" w:rsidRPr="007B4DE0" w:rsidRDefault="007B4DE0">
            <w:pPr>
              <w:autoSpaceDE w:val="0"/>
              <w:autoSpaceDN w:val="0"/>
              <w:adjustRightInd w:val="0"/>
              <w:jc w:val="left"/>
              <w:rPr>
                <w:rFonts w:asciiTheme="minorEastAsia" w:hAnsiTheme="minorEastAsia" w:cs="ＭＳ ゴシック"/>
                <w:color w:val="000000"/>
                <w:kern w:val="0"/>
                <w:sz w:val="20"/>
                <w:szCs w:val="20"/>
              </w:rPr>
            </w:pPr>
            <w:r w:rsidRPr="007B4DE0">
              <w:rPr>
                <w:rFonts w:asciiTheme="minorEastAsia" w:hAnsiTheme="minorEastAsia" w:cs="ＭＳ ゴシック" w:hint="eastAsia"/>
                <w:color w:val="000000"/>
                <w:kern w:val="0"/>
                <w:sz w:val="20"/>
                <w:szCs w:val="20"/>
              </w:rPr>
              <w:t xml:space="preserve">　　旅行前受金</w:t>
            </w:r>
          </w:p>
        </w:tc>
        <w:tc>
          <w:tcPr>
            <w:tcW w:w="1028" w:type="dxa"/>
            <w:tcBorders>
              <w:top w:val="nil"/>
              <w:left w:val="nil"/>
              <w:bottom w:val="nil"/>
              <w:right w:val="nil"/>
            </w:tcBorders>
          </w:tcPr>
          <w:p w14:paraId="6F4338F1"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89,268</w:t>
            </w:r>
          </w:p>
        </w:tc>
        <w:tc>
          <w:tcPr>
            <w:tcW w:w="977" w:type="dxa"/>
            <w:tcBorders>
              <w:top w:val="nil"/>
              <w:left w:val="nil"/>
              <w:bottom w:val="nil"/>
              <w:right w:val="nil"/>
            </w:tcBorders>
          </w:tcPr>
          <w:p w14:paraId="00EC5636"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73,493</w:t>
            </w:r>
          </w:p>
        </w:tc>
        <w:tc>
          <w:tcPr>
            <w:tcW w:w="977" w:type="dxa"/>
            <w:tcBorders>
              <w:top w:val="nil"/>
              <w:left w:val="nil"/>
              <w:bottom w:val="nil"/>
              <w:right w:val="nil"/>
            </w:tcBorders>
          </w:tcPr>
          <w:p w14:paraId="05B41563"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126,981</w:t>
            </w:r>
          </w:p>
        </w:tc>
        <w:tc>
          <w:tcPr>
            <w:tcW w:w="976" w:type="dxa"/>
            <w:tcBorders>
              <w:top w:val="nil"/>
              <w:left w:val="nil"/>
              <w:bottom w:val="nil"/>
              <w:right w:val="nil"/>
            </w:tcBorders>
          </w:tcPr>
          <w:p w14:paraId="68A51A2E"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92,760</w:t>
            </w:r>
          </w:p>
        </w:tc>
        <w:tc>
          <w:tcPr>
            <w:tcW w:w="977" w:type="dxa"/>
            <w:tcBorders>
              <w:top w:val="nil"/>
              <w:left w:val="nil"/>
              <w:bottom w:val="nil"/>
              <w:right w:val="nil"/>
            </w:tcBorders>
          </w:tcPr>
          <w:p w14:paraId="20EA4A49"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108,152</w:t>
            </w:r>
          </w:p>
        </w:tc>
        <w:tc>
          <w:tcPr>
            <w:tcW w:w="977" w:type="dxa"/>
            <w:tcBorders>
              <w:top w:val="nil"/>
              <w:left w:val="nil"/>
              <w:bottom w:val="nil"/>
              <w:right w:val="nil"/>
            </w:tcBorders>
          </w:tcPr>
          <w:p w14:paraId="57309880"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44,102</w:t>
            </w:r>
          </w:p>
        </w:tc>
      </w:tr>
      <w:tr w:rsidR="007B4DE0" w14:paraId="7A0CB684" w14:textId="77777777" w:rsidTr="007B4DE0">
        <w:trPr>
          <w:trHeight w:val="319"/>
        </w:trPr>
        <w:tc>
          <w:tcPr>
            <w:tcW w:w="2440" w:type="dxa"/>
            <w:tcBorders>
              <w:top w:val="nil"/>
              <w:left w:val="nil"/>
              <w:bottom w:val="nil"/>
              <w:right w:val="nil"/>
            </w:tcBorders>
          </w:tcPr>
          <w:p w14:paraId="780C3014" w14:textId="77777777" w:rsidR="007B4DE0" w:rsidRPr="007B4DE0" w:rsidRDefault="007B4DE0">
            <w:pPr>
              <w:autoSpaceDE w:val="0"/>
              <w:autoSpaceDN w:val="0"/>
              <w:adjustRightInd w:val="0"/>
              <w:jc w:val="left"/>
              <w:rPr>
                <w:rFonts w:asciiTheme="minorEastAsia" w:hAnsiTheme="minorEastAsia" w:cs="ＭＳ ゴシック"/>
                <w:color w:val="000000"/>
                <w:kern w:val="0"/>
                <w:sz w:val="20"/>
                <w:szCs w:val="20"/>
              </w:rPr>
            </w:pPr>
            <w:r w:rsidRPr="007B4DE0">
              <w:rPr>
                <w:rFonts w:asciiTheme="minorEastAsia" w:hAnsiTheme="minorEastAsia" w:cs="ＭＳ ゴシック" w:hint="eastAsia"/>
                <w:color w:val="000000"/>
                <w:kern w:val="0"/>
                <w:sz w:val="20"/>
                <w:szCs w:val="20"/>
              </w:rPr>
              <w:t xml:space="preserve">　固定負債</w:t>
            </w:r>
          </w:p>
        </w:tc>
        <w:tc>
          <w:tcPr>
            <w:tcW w:w="1028" w:type="dxa"/>
            <w:tcBorders>
              <w:top w:val="nil"/>
              <w:left w:val="nil"/>
              <w:bottom w:val="nil"/>
              <w:right w:val="nil"/>
            </w:tcBorders>
          </w:tcPr>
          <w:p w14:paraId="069D73AB"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200,367</w:t>
            </w:r>
          </w:p>
        </w:tc>
        <w:tc>
          <w:tcPr>
            <w:tcW w:w="977" w:type="dxa"/>
            <w:tcBorders>
              <w:top w:val="nil"/>
              <w:left w:val="nil"/>
              <w:bottom w:val="nil"/>
              <w:right w:val="nil"/>
            </w:tcBorders>
          </w:tcPr>
          <w:p w14:paraId="616B1919"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194,725</w:t>
            </w:r>
          </w:p>
        </w:tc>
        <w:tc>
          <w:tcPr>
            <w:tcW w:w="977" w:type="dxa"/>
            <w:tcBorders>
              <w:top w:val="nil"/>
              <w:left w:val="nil"/>
              <w:bottom w:val="nil"/>
              <w:right w:val="nil"/>
            </w:tcBorders>
          </w:tcPr>
          <w:p w14:paraId="64AEB3D7"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215,552</w:t>
            </w:r>
          </w:p>
        </w:tc>
        <w:tc>
          <w:tcPr>
            <w:tcW w:w="976" w:type="dxa"/>
            <w:tcBorders>
              <w:top w:val="nil"/>
              <w:left w:val="nil"/>
              <w:bottom w:val="nil"/>
              <w:right w:val="nil"/>
            </w:tcBorders>
          </w:tcPr>
          <w:p w14:paraId="1D361E31"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221,918</w:t>
            </w:r>
          </w:p>
        </w:tc>
        <w:tc>
          <w:tcPr>
            <w:tcW w:w="977" w:type="dxa"/>
            <w:tcBorders>
              <w:top w:val="nil"/>
              <w:left w:val="nil"/>
              <w:bottom w:val="nil"/>
              <w:right w:val="nil"/>
            </w:tcBorders>
          </w:tcPr>
          <w:p w14:paraId="40310489"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233,800</w:t>
            </w:r>
          </w:p>
        </w:tc>
        <w:tc>
          <w:tcPr>
            <w:tcW w:w="977" w:type="dxa"/>
            <w:tcBorders>
              <w:top w:val="nil"/>
              <w:left w:val="nil"/>
              <w:bottom w:val="nil"/>
              <w:right w:val="nil"/>
            </w:tcBorders>
          </w:tcPr>
          <w:p w14:paraId="3387C13B"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236,102</w:t>
            </w:r>
          </w:p>
        </w:tc>
      </w:tr>
      <w:tr w:rsidR="007B4DE0" w14:paraId="01D210E6" w14:textId="77777777" w:rsidTr="007B4DE0">
        <w:trPr>
          <w:trHeight w:val="319"/>
        </w:trPr>
        <w:tc>
          <w:tcPr>
            <w:tcW w:w="2440" w:type="dxa"/>
            <w:tcBorders>
              <w:top w:val="nil"/>
              <w:left w:val="nil"/>
              <w:bottom w:val="nil"/>
              <w:right w:val="nil"/>
            </w:tcBorders>
          </w:tcPr>
          <w:p w14:paraId="54C2EE19" w14:textId="77777777" w:rsidR="007B4DE0" w:rsidRPr="007B4DE0" w:rsidRDefault="007B4DE0">
            <w:pPr>
              <w:autoSpaceDE w:val="0"/>
              <w:autoSpaceDN w:val="0"/>
              <w:adjustRightInd w:val="0"/>
              <w:jc w:val="left"/>
              <w:rPr>
                <w:rFonts w:asciiTheme="minorEastAsia" w:hAnsiTheme="minorEastAsia" w:cs="ＭＳ ゴシック"/>
                <w:color w:val="000000"/>
                <w:kern w:val="0"/>
                <w:sz w:val="20"/>
                <w:szCs w:val="20"/>
              </w:rPr>
            </w:pPr>
            <w:r w:rsidRPr="007B4DE0">
              <w:rPr>
                <w:rFonts w:asciiTheme="minorEastAsia" w:hAnsiTheme="minorEastAsia" w:cs="ＭＳ ゴシック" w:hint="eastAsia"/>
                <w:color w:val="000000"/>
                <w:kern w:val="0"/>
                <w:sz w:val="20"/>
                <w:szCs w:val="20"/>
              </w:rPr>
              <w:t xml:space="preserve">　　長期借入金</w:t>
            </w:r>
          </w:p>
        </w:tc>
        <w:tc>
          <w:tcPr>
            <w:tcW w:w="1028" w:type="dxa"/>
            <w:tcBorders>
              <w:top w:val="nil"/>
              <w:left w:val="nil"/>
              <w:bottom w:val="nil"/>
              <w:right w:val="nil"/>
            </w:tcBorders>
          </w:tcPr>
          <w:p w14:paraId="55351092"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126,957</w:t>
            </w:r>
          </w:p>
        </w:tc>
        <w:tc>
          <w:tcPr>
            <w:tcW w:w="977" w:type="dxa"/>
            <w:tcBorders>
              <w:top w:val="nil"/>
              <w:left w:val="nil"/>
              <w:bottom w:val="nil"/>
              <w:right w:val="nil"/>
            </w:tcBorders>
          </w:tcPr>
          <w:p w14:paraId="6FC9828F"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120,754</w:t>
            </w:r>
          </w:p>
        </w:tc>
        <w:tc>
          <w:tcPr>
            <w:tcW w:w="977" w:type="dxa"/>
            <w:tcBorders>
              <w:top w:val="nil"/>
              <w:left w:val="nil"/>
              <w:bottom w:val="nil"/>
              <w:right w:val="nil"/>
            </w:tcBorders>
          </w:tcPr>
          <w:p w14:paraId="20A299C4"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140,702</w:t>
            </w:r>
          </w:p>
        </w:tc>
        <w:tc>
          <w:tcPr>
            <w:tcW w:w="976" w:type="dxa"/>
            <w:tcBorders>
              <w:top w:val="nil"/>
              <w:left w:val="nil"/>
              <w:bottom w:val="nil"/>
              <w:right w:val="nil"/>
            </w:tcBorders>
          </w:tcPr>
          <w:p w14:paraId="18F1CABF"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146,403</w:t>
            </w:r>
          </w:p>
        </w:tc>
        <w:tc>
          <w:tcPr>
            <w:tcW w:w="977" w:type="dxa"/>
            <w:tcBorders>
              <w:top w:val="nil"/>
              <w:left w:val="nil"/>
              <w:bottom w:val="nil"/>
              <w:right w:val="nil"/>
            </w:tcBorders>
          </w:tcPr>
          <w:p w14:paraId="0EFBD35D"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145,649</w:t>
            </w:r>
          </w:p>
        </w:tc>
        <w:tc>
          <w:tcPr>
            <w:tcW w:w="977" w:type="dxa"/>
            <w:tcBorders>
              <w:top w:val="nil"/>
              <w:left w:val="nil"/>
              <w:bottom w:val="nil"/>
              <w:right w:val="nil"/>
            </w:tcBorders>
          </w:tcPr>
          <w:p w14:paraId="6DE83F52"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148,429</w:t>
            </w:r>
          </w:p>
        </w:tc>
      </w:tr>
      <w:tr w:rsidR="007B4DE0" w14:paraId="41121889" w14:textId="77777777" w:rsidTr="007B4DE0">
        <w:trPr>
          <w:trHeight w:val="319"/>
        </w:trPr>
        <w:tc>
          <w:tcPr>
            <w:tcW w:w="2440" w:type="dxa"/>
            <w:tcBorders>
              <w:top w:val="nil"/>
              <w:left w:val="nil"/>
              <w:bottom w:val="nil"/>
              <w:right w:val="nil"/>
            </w:tcBorders>
          </w:tcPr>
          <w:p w14:paraId="72DEEE71" w14:textId="77777777" w:rsidR="007B4DE0" w:rsidRPr="007B4DE0" w:rsidRDefault="007B4DE0">
            <w:pPr>
              <w:autoSpaceDE w:val="0"/>
              <w:autoSpaceDN w:val="0"/>
              <w:adjustRightInd w:val="0"/>
              <w:jc w:val="left"/>
              <w:rPr>
                <w:rFonts w:asciiTheme="minorEastAsia" w:hAnsiTheme="minorEastAsia" w:cs="ＭＳ ゴシック"/>
                <w:color w:val="000000"/>
                <w:kern w:val="0"/>
                <w:sz w:val="20"/>
                <w:szCs w:val="20"/>
              </w:rPr>
            </w:pPr>
            <w:r w:rsidRPr="007B4DE0">
              <w:rPr>
                <w:rFonts w:asciiTheme="minorEastAsia" w:hAnsiTheme="minorEastAsia" w:cs="ＭＳ ゴシック" w:hint="eastAsia"/>
                <w:color w:val="000000"/>
                <w:kern w:val="0"/>
                <w:sz w:val="20"/>
                <w:szCs w:val="20"/>
              </w:rPr>
              <w:t>純資産</w:t>
            </w:r>
          </w:p>
        </w:tc>
        <w:tc>
          <w:tcPr>
            <w:tcW w:w="1028" w:type="dxa"/>
            <w:tcBorders>
              <w:top w:val="nil"/>
              <w:left w:val="nil"/>
              <w:bottom w:val="nil"/>
              <w:right w:val="nil"/>
            </w:tcBorders>
          </w:tcPr>
          <w:p w14:paraId="6D6E494E"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117,443</w:t>
            </w:r>
          </w:p>
        </w:tc>
        <w:tc>
          <w:tcPr>
            <w:tcW w:w="977" w:type="dxa"/>
            <w:tcBorders>
              <w:top w:val="nil"/>
              <w:left w:val="nil"/>
              <w:bottom w:val="nil"/>
              <w:right w:val="nil"/>
            </w:tcBorders>
          </w:tcPr>
          <w:p w14:paraId="3AFF279A"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115,961</w:t>
            </w:r>
          </w:p>
        </w:tc>
        <w:tc>
          <w:tcPr>
            <w:tcW w:w="977" w:type="dxa"/>
            <w:tcBorders>
              <w:top w:val="nil"/>
              <w:left w:val="nil"/>
              <w:bottom w:val="nil"/>
              <w:right w:val="nil"/>
            </w:tcBorders>
          </w:tcPr>
          <w:p w14:paraId="699F18EF"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121,037</w:t>
            </w:r>
          </w:p>
        </w:tc>
        <w:tc>
          <w:tcPr>
            <w:tcW w:w="976" w:type="dxa"/>
            <w:tcBorders>
              <w:top w:val="nil"/>
              <w:left w:val="nil"/>
              <w:bottom w:val="nil"/>
              <w:right w:val="nil"/>
            </w:tcBorders>
          </w:tcPr>
          <w:p w14:paraId="178C686F"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123,909</w:t>
            </w:r>
          </w:p>
        </w:tc>
        <w:tc>
          <w:tcPr>
            <w:tcW w:w="977" w:type="dxa"/>
            <w:tcBorders>
              <w:top w:val="nil"/>
              <w:left w:val="nil"/>
              <w:bottom w:val="nil"/>
              <w:right w:val="nil"/>
            </w:tcBorders>
          </w:tcPr>
          <w:p w14:paraId="008F3B7A"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126,306</w:t>
            </w:r>
          </w:p>
        </w:tc>
        <w:tc>
          <w:tcPr>
            <w:tcW w:w="977" w:type="dxa"/>
            <w:tcBorders>
              <w:top w:val="nil"/>
              <w:left w:val="nil"/>
              <w:bottom w:val="nil"/>
              <w:right w:val="nil"/>
            </w:tcBorders>
          </w:tcPr>
          <w:p w14:paraId="11E95FEF"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117,632</w:t>
            </w:r>
          </w:p>
        </w:tc>
      </w:tr>
      <w:tr w:rsidR="007B4DE0" w14:paraId="65EE1EC8" w14:textId="77777777" w:rsidTr="007B4DE0">
        <w:trPr>
          <w:trHeight w:val="319"/>
        </w:trPr>
        <w:tc>
          <w:tcPr>
            <w:tcW w:w="2440" w:type="dxa"/>
            <w:tcBorders>
              <w:top w:val="nil"/>
              <w:left w:val="nil"/>
              <w:bottom w:val="nil"/>
              <w:right w:val="nil"/>
            </w:tcBorders>
          </w:tcPr>
          <w:p w14:paraId="6E441466" w14:textId="77777777" w:rsidR="007B4DE0" w:rsidRPr="007B4DE0" w:rsidRDefault="007B4DE0">
            <w:pPr>
              <w:autoSpaceDE w:val="0"/>
              <w:autoSpaceDN w:val="0"/>
              <w:adjustRightInd w:val="0"/>
              <w:jc w:val="left"/>
              <w:rPr>
                <w:rFonts w:asciiTheme="minorEastAsia" w:hAnsiTheme="minorEastAsia" w:cs="ＭＳ ゴシック"/>
                <w:color w:val="000000"/>
                <w:kern w:val="0"/>
                <w:sz w:val="20"/>
                <w:szCs w:val="20"/>
              </w:rPr>
            </w:pPr>
            <w:r w:rsidRPr="007B4DE0">
              <w:rPr>
                <w:rFonts w:asciiTheme="minorEastAsia" w:hAnsiTheme="minorEastAsia" w:cs="ＭＳ ゴシック" w:hint="eastAsia"/>
                <w:color w:val="000000"/>
                <w:kern w:val="0"/>
                <w:sz w:val="20"/>
                <w:szCs w:val="20"/>
              </w:rPr>
              <w:t xml:space="preserve">　自己資本</w:t>
            </w:r>
          </w:p>
        </w:tc>
        <w:tc>
          <w:tcPr>
            <w:tcW w:w="1028" w:type="dxa"/>
            <w:tcBorders>
              <w:top w:val="nil"/>
              <w:left w:val="nil"/>
              <w:bottom w:val="nil"/>
              <w:right w:val="nil"/>
            </w:tcBorders>
          </w:tcPr>
          <w:p w14:paraId="44CF804B"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88,088</w:t>
            </w:r>
          </w:p>
        </w:tc>
        <w:tc>
          <w:tcPr>
            <w:tcW w:w="977" w:type="dxa"/>
            <w:tcBorders>
              <w:top w:val="nil"/>
              <w:left w:val="nil"/>
              <w:bottom w:val="nil"/>
              <w:right w:val="nil"/>
            </w:tcBorders>
          </w:tcPr>
          <w:p w14:paraId="6779A52B"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91,164</w:t>
            </w:r>
          </w:p>
        </w:tc>
        <w:tc>
          <w:tcPr>
            <w:tcW w:w="977" w:type="dxa"/>
            <w:tcBorders>
              <w:top w:val="nil"/>
              <w:left w:val="nil"/>
              <w:bottom w:val="nil"/>
              <w:right w:val="nil"/>
            </w:tcBorders>
          </w:tcPr>
          <w:p w14:paraId="40C2605A"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92,821</w:t>
            </w:r>
          </w:p>
        </w:tc>
        <w:tc>
          <w:tcPr>
            <w:tcW w:w="976" w:type="dxa"/>
            <w:tcBorders>
              <w:top w:val="nil"/>
              <w:left w:val="nil"/>
              <w:bottom w:val="nil"/>
              <w:right w:val="nil"/>
            </w:tcBorders>
          </w:tcPr>
          <w:p w14:paraId="7BF72E97" w14:textId="77777777" w:rsidR="007B4DE0" w:rsidRPr="00C74F0E" w:rsidRDefault="007B4DE0">
            <w:pPr>
              <w:autoSpaceDE w:val="0"/>
              <w:autoSpaceDN w:val="0"/>
              <w:adjustRightInd w:val="0"/>
              <w:jc w:val="right"/>
              <w:rPr>
                <w:rFonts w:ascii="Century" w:eastAsia="ＭＳ ゴシック" w:hAnsi="Century" w:cs="Calibri"/>
                <w:color w:val="000000"/>
                <w:kern w:val="0"/>
                <w:sz w:val="18"/>
                <w:szCs w:val="18"/>
              </w:rPr>
            </w:pPr>
            <w:r w:rsidRPr="00C74F0E">
              <w:rPr>
                <w:rFonts w:ascii="Century" w:eastAsia="ＭＳ ゴシック" w:hAnsi="Century" w:cs="Calibri"/>
                <w:color w:val="000000"/>
                <w:kern w:val="0"/>
                <w:sz w:val="18"/>
                <w:szCs w:val="18"/>
              </w:rPr>
              <w:t>98,493</w:t>
            </w:r>
          </w:p>
        </w:tc>
        <w:tc>
          <w:tcPr>
            <w:tcW w:w="977" w:type="dxa"/>
            <w:tcBorders>
              <w:top w:val="nil"/>
              <w:left w:val="nil"/>
              <w:bottom w:val="nil"/>
              <w:right w:val="nil"/>
            </w:tcBorders>
          </w:tcPr>
          <w:p w14:paraId="54C34526"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98,268</w:t>
            </w:r>
          </w:p>
        </w:tc>
        <w:tc>
          <w:tcPr>
            <w:tcW w:w="977" w:type="dxa"/>
            <w:tcBorders>
              <w:top w:val="nil"/>
              <w:left w:val="nil"/>
              <w:bottom w:val="nil"/>
              <w:right w:val="nil"/>
            </w:tcBorders>
          </w:tcPr>
          <w:p w14:paraId="6240AB07"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92,799</w:t>
            </w:r>
          </w:p>
        </w:tc>
      </w:tr>
      <w:tr w:rsidR="007B4DE0" w14:paraId="4BA66E48" w14:textId="77777777" w:rsidTr="007B4DE0">
        <w:trPr>
          <w:trHeight w:val="319"/>
        </w:trPr>
        <w:tc>
          <w:tcPr>
            <w:tcW w:w="2440" w:type="dxa"/>
            <w:tcBorders>
              <w:top w:val="nil"/>
              <w:left w:val="nil"/>
              <w:bottom w:val="nil"/>
              <w:right w:val="nil"/>
            </w:tcBorders>
          </w:tcPr>
          <w:p w14:paraId="7B1FC66E" w14:textId="77777777" w:rsidR="007B4DE0" w:rsidRPr="007B4DE0" w:rsidRDefault="007B4DE0">
            <w:pPr>
              <w:autoSpaceDE w:val="0"/>
              <w:autoSpaceDN w:val="0"/>
              <w:adjustRightInd w:val="0"/>
              <w:jc w:val="left"/>
              <w:rPr>
                <w:rFonts w:asciiTheme="minorEastAsia" w:hAnsiTheme="minorEastAsia" w:cs="ＭＳ ゴシック"/>
                <w:color w:val="000000"/>
                <w:kern w:val="0"/>
                <w:sz w:val="20"/>
                <w:szCs w:val="20"/>
              </w:rPr>
            </w:pPr>
            <w:r w:rsidRPr="007B4DE0">
              <w:rPr>
                <w:rFonts w:asciiTheme="minorEastAsia" w:hAnsiTheme="minorEastAsia" w:cs="ＭＳ ゴシック" w:hint="eastAsia"/>
                <w:color w:val="000000"/>
                <w:kern w:val="0"/>
                <w:sz w:val="20"/>
                <w:szCs w:val="20"/>
              </w:rPr>
              <w:t xml:space="preserve">　　利益剰余金</w:t>
            </w:r>
          </w:p>
        </w:tc>
        <w:tc>
          <w:tcPr>
            <w:tcW w:w="1028" w:type="dxa"/>
            <w:tcBorders>
              <w:top w:val="nil"/>
              <w:left w:val="nil"/>
              <w:bottom w:val="nil"/>
              <w:right w:val="nil"/>
            </w:tcBorders>
          </w:tcPr>
          <w:p w14:paraId="0D0C59C2"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102,679</w:t>
            </w:r>
          </w:p>
        </w:tc>
        <w:tc>
          <w:tcPr>
            <w:tcW w:w="977" w:type="dxa"/>
            <w:tcBorders>
              <w:top w:val="nil"/>
              <w:left w:val="nil"/>
              <w:bottom w:val="nil"/>
              <w:right w:val="nil"/>
            </w:tcBorders>
          </w:tcPr>
          <w:p w14:paraId="2DDC1B41"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105,256</w:t>
            </w:r>
          </w:p>
        </w:tc>
        <w:tc>
          <w:tcPr>
            <w:tcW w:w="977" w:type="dxa"/>
            <w:tcBorders>
              <w:top w:val="nil"/>
              <w:left w:val="nil"/>
              <w:bottom w:val="nil"/>
              <w:right w:val="nil"/>
            </w:tcBorders>
          </w:tcPr>
          <w:p w14:paraId="700E53CB"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106,793</w:t>
            </w:r>
          </w:p>
        </w:tc>
        <w:tc>
          <w:tcPr>
            <w:tcW w:w="976" w:type="dxa"/>
            <w:tcBorders>
              <w:top w:val="nil"/>
              <w:left w:val="nil"/>
              <w:bottom w:val="nil"/>
              <w:right w:val="nil"/>
            </w:tcBorders>
          </w:tcPr>
          <w:p w14:paraId="70B18203"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112,409</w:t>
            </w:r>
          </w:p>
        </w:tc>
        <w:tc>
          <w:tcPr>
            <w:tcW w:w="977" w:type="dxa"/>
            <w:tcBorders>
              <w:top w:val="nil"/>
              <w:left w:val="nil"/>
              <w:bottom w:val="nil"/>
              <w:right w:val="nil"/>
            </w:tcBorders>
          </w:tcPr>
          <w:p w14:paraId="64D5A340"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112,085</w:t>
            </w:r>
          </w:p>
        </w:tc>
        <w:tc>
          <w:tcPr>
            <w:tcW w:w="977" w:type="dxa"/>
            <w:tcBorders>
              <w:top w:val="nil"/>
              <w:left w:val="nil"/>
              <w:bottom w:val="nil"/>
              <w:right w:val="nil"/>
            </w:tcBorders>
          </w:tcPr>
          <w:p w14:paraId="72E4B952"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106,447</w:t>
            </w:r>
          </w:p>
        </w:tc>
      </w:tr>
      <w:tr w:rsidR="007B4DE0" w14:paraId="2C48C541" w14:textId="77777777" w:rsidTr="007B4DE0">
        <w:trPr>
          <w:trHeight w:val="319"/>
        </w:trPr>
        <w:tc>
          <w:tcPr>
            <w:tcW w:w="2440" w:type="dxa"/>
            <w:tcBorders>
              <w:top w:val="nil"/>
              <w:left w:val="nil"/>
              <w:bottom w:val="single" w:sz="6" w:space="0" w:color="000000"/>
              <w:right w:val="nil"/>
            </w:tcBorders>
          </w:tcPr>
          <w:p w14:paraId="4AE1A4C9" w14:textId="77777777" w:rsidR="007B4DE0" w:rsidRPr="007B4DE0" w:rsidRDefault="007B4DE0">
            <w:pPr>
              <w:autoSpaceDE w:val="0"/>
              <w:autoSpaceDN w:val="0"/>
              <w:adjustRightInd w:val="0"/>
              <w:jc w:val="left"/>
              <w:rPr>
                <w:rFonts w:asciiTheme="minorEastAsia" w:hAnsiTheme="minorEastAsia" w:cs="Calibri"/>
                <w:color w:val="000000"/>
                <w:kern w:val="0"/>
                <w:sz w:val="20"/>
                <w:szCs w:val="20"/>
              </w:rPr>
            </w:pPr>
            <w:r w:rsidRPr="007B4DE0">
              <w:rPr>
                <w:rFonts w:asciiTheme="minorEastAsia" w:hAnsiTheme="minorEastAsia" w:cs="Calibri"/>
                <w:color w:val="000000"/>
                <w:kern w:val="0"/>
                <w:sz w:val="20"/>
                <w:szCs w:val="20"/>
              </w:rPr>
              <w:t>負債・純資産</w:t>
            </w:r>
          </w:p>
        </w:tc>
        <w:tc>
          <w:tcPr>
            <w:tcW w:w="1028" w:type="dxa"/>
            <w:tcBorders>
              <w:top w:val="nil"/>
              <w:left w:val="nil"/>
              <w:bottom w:val="single" w:sz="6" w:space="0" w:color="auto"/>
              <w:right w:val="nil"/>
            </w:tcBorders>
          </w:tcPr>
          <w:p w14:paraId="4D7B8AAF"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572,265</w:t>
            </w:r>
          </w:p>
        </w:tc>
        <w:tc>
          <w:tcPr>
            <w:tcW w:w="977" w:type="dxa"/>
            <w:tcBorders>
              <w:top w:val="nil"/>
              <w:left w:val="nil"/>
              <w:bottom w:val="single" w:sz="6" w:space="0" w:color="auto"/>
              <w:right w:val="nil"/>
            </w:tcBorders>
          </w:tcPr>
          <w:p w14:paraId="17844959"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570,336</w:t>
            </w:r>
          </w:p>
        </w:tc>
        <w:tc>
          <w:tcPr>
            <w:tcW w:w="977" w:type="dxa"/>
            <w:tcBorders>
              <w:top w:val="nil"/>
              <w:left w:val="nil"/>
              <w:bottom w:val="single" w:sz="6" w:space="0" w:color="auto"/>
              <w:right w:val="nil"/>
            </w:tcBorders>
          </w:tcPr>
          <w:p w14:paraId="48FE92C7"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638,714</w:t>
            </w:r>
          </w:p>
        </w:tc>
        <w:tc>
          <w:tcPr>
            <w:tcW w:w="976" w:type="dxa"/>
            <w:tcBorders>
              <w:top w:val="nil"/>
              <w:left w:val="nil"/>
              <w:bottom w:val="single" w:sz="6" w:space="0" w:color="auto"/>
              <w:right w:val="nil"/>
            </w:tcBorders>
          </w:tcPr>
          <w:p w14:paraId="6951C604"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577,399</w:t>
            </w:r>
          </w:p>
        </w:tc>
        <w:tc>
          <w:tcPr>
            <w:tcW w:w="977" w:type="dxa"/>
            <w:tcBorders>
              <w:top w:val="nil"/>
              <w:left w:val="nil"/>
              <w:bottom w:val="single" w:sz="6" w:space="0" w:color="auto"/>
              <w:right w:val="nil"/>
            </w:tcBorders>
          </w:tcPr>
          <w:p w14:paraId="01266C9C"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577,883</w:t>
            </w:r>
          </w:p>
        </w:tc>
        <w:tc>
          <w:tcPr>
            <w:tcW w:w="977" w:type="dxa"/>
            <w:tcBorders>
              <w:top w:val="nil"/>
              <w:left w:val="nil"/>
              <w:bottom w:val="single" w:sz="6" w:space="0" w:color="auto"/>
              <w:right w:val="nil"/>
            </w:tcBorders>
          </w:tcPr>
          <w:p w14:paraId="3A215864" w14:textId="77777777" w:rsidR="007B4DE0" w:rsidRPr="00C74F0E" w:rsidRDefault="007B4DE0">
            <w:pPr>
              <w:autoSpaceDE w:val="0"/>
              <w:autoSpaceDN w:val="0"/>
              <w:adjustRightInd w:val="0"/>
              <w:jc w:val="right"/>
              <w:rPr>
                <w:rFonts w:ascii="Century" w:eastAsia="ＭＳ ゴシック" w:hAnsi="Century" w:cs="Calibri"/>
                <w:color w:val="000000"/>
                <w:kern w:val="0"/>
                <w:sz w:val="20"/>
                <w:szCs w:val="20"/>
              </w:rPr>
            </w:pPr>
            <w:r w:rsidRPr="00C74F0E">
              <w:rPr>
                <w:rFonts w:ascii="Century" w:eastAsia="ＭＳ ゴシック" w:hAnsi="Century" w:cs="Calibri"/>
                <w:color w:val="000000"/>
                <w:kern w:val="0"/>
                <w:sz w:val="20"/>
                <w:szCs w:val="20"/>
              </w:rPr>
              <w:t>488,089</w:t>
            </w:r>
          </w:p>
        </w:tc>
      </w:tr>
    </w:tbl>
    <w:p w14:paraId="4E64DB54" w14:textId="0B7E11A6" w:rsidR="007B4DE0" w:rsidRPr="007B4DE0" w:rsidRDefault="007B4DE0" w:rsidP="008D3845">
      <w:r>
        <w:rPr>
          <w:rFonts w:hint="eastAsia"/>
        </w:rPr>
        <w:t>出典：</w:t>
      </w:r>
      <w:r w:rsidRPr="00DD0703">
        <w:rPr>
          <w:rFonts w:hint="eastAsia"/>
        </w:rPr>
        <w:t>エイチ・アイ・エス</w:t>
      </w:r>
      <w:r>
        <w:rPr>
          <w:rFonts w:hint="eastAsia"/>
        </w:rPr>
        <w:t>社「四半期報告書」より筆者作成。</w:t>
      </w:r>
      <w:r w:rsidR="00B15EF4">
        <w:rPr>
          <w:rFonts w:hint="eastAsia"/>
        </w:rPr>
        <w:t>単位は百万円。</w:t>
      </w:r>
    </w:p>
    <w:p w14:paraId="48E598C9" w14:textId="77777777" w:rsidR="007B4DE0" w:rsidRDefault="007B4DE0" w:rsidP="008D3845"/>
    <w:p w14:paraId="5AA55538" w14:textId="4D44923E" w:rsidR="00DD0703" w:rsidRDefault="00DD0703" w:rsidP="00DD0703">
      <w:r>
        <w:rPr>
          <w:rFonts w:hint="eastAsia"/>
        </w:rPr>
        <w:t>表1</w:t>
      </w:r>
      <w:r w:rsidR="007B4DE0">
        <w:t>4</w:t>
      </w:r>
      <w:r>
        <w:rPr>
          <w:rFonts w:hint="eastAsia"/>
        </w:rPr>
        <w:t xml:space="preserve">　</w:t>
      </w:r>
      <w:r w:rsidRPr="00DD0703">
        <w:rPr>
          <w:rFonts w:hint="eastAsia"/>
        </w:rPr>
        <w:t>エイチ・アイ・エス</w:t>
      </w:r>
      <w:r>
        <w:rPr>
          <w:rFonts w:hint="eastAsia"/>
        </w:rPr>
        <w:t>社の</w:t>
      </w:r>
      <w:r>
        <w:t>ROE</w:t>
      </w:r>
      <w:r>
        <w:rPr>
          <w:rFonts w:hint="eastAsia"/>
        </w:rPr>
        <w:t>（純利益率・総資産回転率・財務レバレッジ）</w:t>
      </w:r>
    </w:p>
    <w:tbl>
      <w:tblPr>
        <w:tblW w:w="8364" w:type="dxa"/>
        <w:tblCellMar>
          <w:left w:w="99" w:type="dxa"/>
          <w:right w:w="99" w:type="dxa"/>
        </w:tblCellMar>
        <w:tblLook w:val="04A0" w:firstRow="1" w:lastRow="0" w:firstColumn="1" w:lastColumn="0" w:noHBand="0" w:noVBand="1"/>
      </w:tblPr>
      <w:tblGrid>
        <w:gridCol w:w="4111"/>
        <w:gridCol w:w="1418"/>
        <w:gridCol w:w="1417"/>
        <w:gridCol w:w="1418"/>
      </w:tblGrid>
      <w:tr w:rsidR="00DD0703" w:rsidRPr="00F23D0D" w14:paraId="76B9EB1F" w14:textId="77777777" w:rsidTr="00A5639E">
        <w:trPr>
          <w:trHeight w:val="340"/>
        </w:trPr>
        <w:tc>
          <w:tcPr>
            <w:tcW w:w="4111" w:type="dxa"/>
            <w:tcBorders>
              <w:top w:val="single" w:sz="4" w:space="0" w:color="auto"/>
              <w:left w:val="nil"/>
              <w:bottom w:val="single" w:sz="4" w:space="0" w:color="auto"/>
              <w:right w:val="nil"/>
            </w:tcBorders>
            <w:shd w:val="clear" w:color="auto" w:fill="auto"/>
            <w:noWrap/>
            <w:vAlign w:val="center"/>
            <w:hideMark/>
          </w:tcPr>
          <w:p w14:paraId="13C33451" w14:textId="77777777" w:rsidR="00DD0703" w:rsidRPr="00F23D0D" w:rsidRDefault="00DD0703" w:rsidP="00DD6686">
            <w:pPr>
              <w:widowControl/>
              <w:jc w:val="left"/>
              <w:rPr>
                <w:rFonts w:ascii="游ゴシック" w:eastAsia="游ゴシック" w:hAnsi="游ゴシック" w:cs="ＭＳ Ｐゴシック"/>
                <w:b/>
                <w:bCs/>
                <w:color w:val="000000"/>
                <w:kern w:val="0"/>
                <w:sz w:val="20"/>
                <w:szCs w:val="20"/>
              </w:rPr>
            </w:pPr>
            <w:r w:rsidRPr="00F23D0D">
              <w:rPr>
                <w:rFonts w:ascii="游ゴシック" w:eastAsia="游ゴシック" w:hAnsi="游ゴシック" w:cs="ＭＳ Ｐゴシック" w:hint="eastAsia"/>
                <w:b/>
                <w:bCs/>
                <w:color w:val="000000"/>
                <w:kern w:val="0"/>
                <w:sz w:val="20"/>
                <w:szCs w:val="20"/>
              </w:rPr>
              <w:t xml:space="preserve">　</w:t>
            </w:r>
          </w:p>
        </w:tc>
        <w:tc>
          <w:tcPr>
            <w:tcW w:w="1418" w:type="dxa"/>
            <w:tcBorders>
              <w:top w:val="single" w:sz="4" w:space="0" w:color="auto"/>
              <w:left w:val="nil"/>
              <w:bottom w:val="single" w:sz="4" w:space="0" w:color="auto"/>
              <w:right w:val="nil"/>
            </w:tcBorders>
            <w:shd w:val="clear" w:color="auto" w:fill="auto"/>
            <w:noWrap/>
            <w:vAlign w:val="center"/>
            <w:hideMark/>
          </w:tcPr>
          <w:p w14:paraId="42BABB47" w14:textId="4E7CF975" w:rsidR="00DD0703" w:rsidRPr="00C74F0E" w:rsidRDefault="00DD0703" w:rsidP="00DD6686">
            <w:pPr>
              <w:widowControl/>
              <w:jc w:val="center"/>
              <w:rPr>
                <w:rFonts w:ascii="Century" w:eastAsia="游ゴシック" w:hAnsi="Century" w:cs="ＭＳ Ｐゴシック"/>
                <w:b/>
                <w:bCs/>
                <w:color w:val="000000"/>
                <w:kern w:val="0"/>
                <w:sz w:val="20"/>
                <w:szCs w:val="20"/>
              </w:rPr>
            </w:pPr>
            <w:r w:rsidRPr="00C74F0E">
              <w:rPr>
                <w:rFonts w:ascii="Century" w:eastAsia="游ゴシック" w:hAnsi="Century" w:cs="ＭＳ Ｐゴシック"/>
                <w:b/>
                <w:bCs/>
                <w:color w:val="000000"/>
                <w:kern w:val="0"/>
                <w:sz w:val="20"/>
                <w:szCs w:val="20"/>
              </w:rPr>
              <w:t>201</w:t>
            </w:r>
            <w:r w:rsidR="00CA5880" w:rsidRPr="00C74F0E">
              <w:rPr>
                <w:rFonts w:ascii="Century" w:eastAsia="游ゴシック" w:hAnsi="Century" w:cs="ＭＳ Ｐゴシック"/>
                <w:b/>
                <w:bCs/>
                <w:color w:val="000000"/>
                <w:kern w:val="0"/>
                <w:sz w:val="20"/>
                <w:szCs w:val="20"/>
              </w:rPr>
              <w:t>7</w:t>
            </w:r>
          </w:p>
        </w:tc>
        <w:tc>
          <w:tcPr>
            <w:tcW w:w="1417" w:type="dxa"/>
            <w:tcBorders>
              <w:top w:val="single" w:sz="4" w:space="0" w:color="auto"/>
              <w:left w:val="nil"/>
              <w:bottom w:val="single" w:sz="4" w:space="0" w:color="auto"/>
              <w:right w:val="nil"/>
            </w:tcBorders>
            <w:shd w:val="clear" w:color="auto" w:fill="auto"/>
            <w:noWrap/>
            <w:vAlign w:val="center"/>
            <w:hideMark/>
          </w:tcPr>
          <w:p w14:paraId="10AF60F2" w14:textId="2387326D" w:rsidR="00DD0703" w:rsidRPr="00C74F0E" w:rsidRDefault="00DD0703" w:rsidP="00DD6686">
            <w:pPr>
              <w:widowControl/>
              <w:jc w:val="center"/>
              <w:rPr>
                <w:rFonts w:ascii="Century" w:eastAsia="游ゴシック" w:hAnsi="Century" w:cs="ＭＳ Ｐゴシック"/>
                <w:b/>
                <w:bCs/>
                <w:color w:val="000000"/>
                <w:kern w:val="0"/>
                <w:sz w:val="20"/>
                <w:szCs w:val="20"/>
              </w:rPr>
            </w:pPr>
            <w:r w:rsidRPr="00C74F0E">
              <w:rPr>
                <w:rFonts w:ascii="Century" w:eastAsia="游ゴシック" w:hAnsi="Century" w:cs="ＭＳ Ｐゴシック"/>
                <w:b/>
                <w:bCs/>
                <w:color w:val="000000"/>
                <w:kern w:val="0"/>
                <w:sz w:val="20"/>
                <w:szCs w:val="20"/>
              </w:rPr>
              <w:t>201</w:t>
            </w:r>
            <w:r w:rsidR="00CA5880" w:rsidRPr="00C74F0E">
              <w:rPr>
                <w:rFonts w:ascii="Century" w:eastAsia="游ゴシック" w:hAnsi="Century" w:cs="ＭＳ Ｐゴシック"/>
                <w:b/>
                <w:bCs/>
                <w:color w:val="000000"/>
                <w:kern w:val="0"/>
                <w:sz w:val="20"/>
                <w:szCs w:val="20"/>
              </w:rPr>
              <w:t>8</w:t>
            </w:r>
          </w:p>
        </w:tc>
        <w:tc>
          <w:tcPr>
            <w:tcW w:w="1418" w:type="dxa"/>
            <w:tcBorders>
              <w:top w:val="single" w:sz="4" w:space="0" w:color="auto"/>
              <w:left w:val="nil"/>
              <w:bottom w:val="single" w:sz="4" w:space="0" w:color="auto"/>
              <w:right w:val="nil"/>
            </w:tcBorders>
            <w:shd w:val="clear" w:color="auto" w:fill="auto"/>
            <w:noWrap/>
            <w:vAlign w:val="center"/>
            <w:hideMark/>
          </w:tcPr>
          <w:p w14:paraId="3326E8B3" w14:textId="61989715" w:rsidR="00DD0703" w:rsidRPr="00C74F0E" w:rsidRDefault="00DD0703" w:rsidP="00DD6686">
            <w:pPr>
              <w:widowControl/>
              <w:jc w:val="center"/>
              <w:rPr>
                <w:rFonts w:ascii="Century" w:eastAsia="游ゴシック" w:hAnsi="Century" w:cs="ＭＳ Ｐゴシック"/>
                <w:b/>
                <w:bCs/>
                <w:color w:val="000000"/>
                <w:kern w:val="0"/>
                <w:sz w:val="20"/>
                <w:szCs w:val="20"/>
              </w:rPr>
            </w:pPr>
            <w:r w:rsidRPr="00C74F0E">
              <w:rPr>
                <w:rFonts w:ascii="Century" w:eastAsia="游ゴシック" w:hAnsi="Century" w:cs="ＭＳ Ｐゴシック"/>
                <w:b/>
                <w:bCs/>
                <w:color w:val="000000"/>
                <w:kern w:val="0"/>
                <w:sz w:val="20"/>
                <w:szCs w:val="20"/>
              </w:rPr>
              <w:t>20</w:t>
            </w:r>
            <w:r w:rsidR="00CA5880" w:rsidRPr="00C74F0E">
              <w:rPr>
                <w:rFonts w:ascii="Century" w:eastAsia="游ゴシック" w:hAnsi="Century" w:cs="ＭＳ Ｐゴシック"/>
                <w:b/>
                <w:bCs/>
                <w:color w:val="000000"/>
                <w:kern w:val="0"/>
                <w:sz w:val="20"/>
                <w:szCs w:val="20"/>
              </w:rPr>
              <w:t>19</w:t>
            </w:r>
          </w:p>
        </w:tc>
      </w:tr>
      <w:tr w:rsidR="00DD0703" w:rsidRPr="00F23D0D" w14:paraId="604CB4C4" w14:textId="77777777" w:rsidTr="00A5639E">
        <w:trPr>
          <w:trHeight w:val="340"/>
        </w:trPr>
        <w:tc>
          <w:tcPr>
            <w:tcW w:w="4111" w:type="dxa"/>
            <w:tcBorders>
              <w:top w:val="nil"/>
              <w:left w:val="nil"/>
              <w:bottom w:val="nil"/>
              <w:right w:val="nil"/>
            </w:tcBorders>
            <w:shd w:val="clear" w:color="auto" w:fill="auto"/>
            <w:noWrap/>
            <w:vAlign w:val="center"/>
            <w:hideMark/>
          </w:tcPr>
          <w:p w14:paraId="557E0B22" w14:textId="77777777" w:rsidR="00DD0703" w:rsidRPr="0024372F" w:rsidRDefault="00DD0703" w:rsidP="00DD6686">
            <w:pPr>
              <w:widowControl/>
              <w:jc w:val="left"/>
              <w:rPr>
                <w:rFonts w:asciiTheme="minorEastAsia" w:hAnsiTheme="minorEastAsia" w:cs="ＭＳ Ｐゴシック"/>
                <w:b/>
                <w:bCs/>
                <w:color w:val="000000"/>
                <w:kern w:val="0"/>
                <w:sz w:val="20"/>
                <w:szCs w:val="20"/>
              </w:rPr>
            </w:pPr>
            <w:r w:rsidRPr="0024372F">
              <w:rPr>
                <w:rFonts w:asciiTheme="minorEastAsia" w:hAnsiTheme="minorEastAsia" w:cs="ＭＳ Ｐゴシック" w:hint="eastAsia"/>
                <w:b/>
                <w:bCs/>
                <w:color w:val="000000"/>
                <w:kern w:val="0"/>
                <w:sz w:val="20"/>
                <w:szCs w:val="20"/>
              </w:rPr>
              <w:t>ROEの分解</w:t>
            </w:r>
          </w:p>
        </w:tc>
        <w:tc>
          <w:tcPr>
            <w:tcW w:w="1418" w:type="dxa"/>
            <w:tcBorders>
              <w:top w:val="nil"/>
              <w:left w:val="nil"/>
              <w:bottom w:val="nil"/>
              <w:right w:val="nil"/>
            </w:tcBorders>
            <w:shd w:val="clear" w:color="auto" w:fill="auto"/>
            <w:noWrap/>
            <w:vAlign w:val="center"/>
            <w:hideMark/>
          </w:tcPr>
          <w:p w14:paraId="5F7DEF64" w14:textId="77777777" w:rsidR="00DD0703" w:rsidRPr="00C74F0E" w:rsidRDefault="00DD0703" w:rsidP="00DD6686">
            <w:pPr>
              <w:widowControl/>
              <w:jc w:val="left"/>
              <w:rPr>
                <w:rFonts w:ascii="Century" w:eastAsia="游ゴシック" w:hAnsi="Century" w:cs="ＭＳ Ｐゴシック"/>
                <w:b/>
                <w:bCs/>
                <w:color w:val="000000"/>
                <w:kern w:val="0"/>
                <w:sz w:val="20"/>
                <w:szCs w:val="20"/>
              </w:rPr>
            </w:pPr>
          </w:p>
        </w:tc>
        <w:tc>
          <w:tcPr>
            <w:tcW w:w="1417" w:type="dxa"/>
            <w:tcBorders>
              <w:top w:val="nil"/>
              <w:left w:val="nil"/>
              <w:bottom w:val="nil"/>
              <w:right w:val="nil"/>
            </w:tcBorders>
            <w:shd w:val="clear" w:color="auto" w:fill="auto"/>
            <w:noWrap/>
            <w:vAlign w:val="center"/>
            <w:hideMark/>
          </w:tcPr>
          <w:p w14:paraId="7D55B993" w14:textId="77777777" w:rsidR="00DD0703" w:rsidRPr="00C74F0E" w:rsidRDefault="00DD0703" w:rsidP="00DD6686">
            <w:pPr>
              <w:widowControl/>
              <w:jc w:val="left"/>
              <w:rPr>
                <w:rFonts w:ascii="Century" w:eastAsia="Times New Roman" w:hAnsi="Century" w:cs="Times New Roman"/>
                <w:kern w:val="0"/>
                <w:sz w:val="20"/>
                <w:szCs w:val="20"/>
              </w:rPr>
            </w:pPr>
          </w:p>
        </w:tc>
        <w:tc>
          <w:tcPr>
            <w:tcW w:w="1418" w:type="dxa"/>
            <w:tcBorders>
              <w:top w:val="nil"/>
              <w:left w:val="nil"/>
              <w:bottom w:val="nil"/>
              <w:right w:val="nil"/>
            </w:tcBorders>
            <w:shd w:val="clear" w:color="auto" w:fill="auto"/>
            <w:noWrap/>
            <w:vAlign w:val="center"/>
            <w:hideMark/>
          </w:tcPr>
          <w:p w14:paraId="5CBD2BF8" w14:textId="77777777" w:rsidR="00DD0703" w:rsidRPr="00C74F0E" w:rsidRDefault="00DD0703" w:rsidP="00DD6686">
            <w:pPr>
              <w:widowControl/>
              <w:jc w:val="left"/>
              <w:rPr>
                <w:rFonts w:ascii="Century" w:eastAsia="Times New Roman" w:hAnsi="Century" w:cs="Times New Roman"/>
                <w:kern w:val="0"/>
                <w:sz w:val="20"/>
                <w:szCs w:val="20"/>
              </w:rPr>
            </w:pPr>
          </w:p>
        </w:tc>
      </w:tr>
      <w:tr w:rsidR="00CA5880" w:rsidRPr="00F23D0D" w14:paraId="76C0EDE3" w14:textId="77777777" w:rsidTr="00A5639E">
        <w:trPr>
          <w:trHeight w:val="340"/>
        </w:trPr>
        <w:tc>
          <w:tcPr>
            <w:tcW w:w="4111" w:type="dxa"/>
            <w:tcBorders>
              <w:top w:val="nil"/>
              <w:left w:val="nil"/>
              <w:bottom w:val="nil"/>
              <w:right w:val="nil"/>
            </w:tcBorders>
            <w:shd w:val="clear" w:color="auto" w:fill="auto"/>
            <w:noWrap/>
            <w:vAlign w:val="center"/>
            <w:hideMark/>
          </w:tcPr>
          <w:p w14:paraId="79BF9DB7" w14:textId="77777777" w:rsidR="00CA5880" w:rsidRPr="0024372F" w:rsidRDefault="00CA5880" w:rsidP="00CA5880">
            <w:pPr>
              <w:widowControl/>
              <w:jc w:val="left"/>
              <w:rPr>
                <w:rFonts w:asciiTheme="minorEastAsia" w:hAnsiTheme="minorEastAsia" w:cs="ＭＳ Ｐゴシック"/>
                <w:b/>
                <w:bCs/>
                <w:color w:val="000000"/>
                <w:kern w:val="0"/>
                <w:sz w:val="20"/>
                <w:szCs w:val="20"/>
              </w:rPr>
            </w:pPr>
            <w:r w:rsidRPr="0024372F">
              <w:rPr>
                <w:rFonts w:asciiTheme="minorEastAsia" w:hAnsiTheme="minorEastAsia" w:cs="ＭＳ Ｐゴシック" w:hint="eastAsia"/>
                <w:b/>
                <w:bCs/>
                <w:color w:val="000000"/>
                <w:kern w:val="0"/>
                <w:sz w:val="20"/>
                <w:szCs w:val="20"/>
              </w:rPr>
              <w:t>ROE</w:t>
            </w:r>
          </w:p>
        </w:tc>
        <w:tc>
          <w:tcPr>
            <w:tcW w:w="1418" w:type="dxa"/>
            <w:tcBorders>
              <w:top w:val="nil"/>
              <w:left w:val="nil"/>
              <w:bottom w:val="nil"/>
              <w:right w:val="nil"/>
            </w:tcBorders>
            <w:shd w:val="clear" w:color="auto" w:fill="auto"/>
            <w:noWrap/>
            <w:hideMark/>
          </w:tcPr>
          <w:p w14:paraId="47125F81" w14:textId="1BD1B259" w:rsidR="00CA5880" w:rsidRPr="00C74F0E" w:rsidRDefault="00CA5880" w:rsidP="00CA5880">
            <w:pPr>
              <w:widowControl/>
              <w:jc w:val="right"/>
              <w:rPr>
                <w:rFonts w:ascii="Century" w:eastAsia="游ゴシック" w:hAnsi="Century" w:cs="ＭＳ Ｐゴシック"/>
                <w:b/>
                <w:bCs/>
                <w:color w:val="000000"/>
                <w:kern w:val="0"/>
                <w:sz w:val="20"/>
                <w:szCs w:val="20"/>
              </w:rPr>
            </w:pPr>
            <w:r w:rsidRPr="00C74F0E">
              <w:rPr>
                <w:rFonts w:ascii="Century" w:hAnsi="Century"/>
                <w:b/>
                <w:bCs/>
              </w:rPr>
              <w:t>15.5%</w:t>
            </w:r>
          </w:p>
        </w:tc>
        <w:tc>
          <w:tcPr>
            <w:tcW w:w="1417" w:type="dxa"/>
            <w:tcBorders>
              <w:top w:val="nil"/>
              <w:left w:val="nil"/>
              <w:bottom w:val="nil"/>
              <w:right w:val="nil"/>
            </w:tcBorders>
            <w:shd w:val="clear" w:color="auto" w:fill="auto"/>
            <w:noWrap/>
            <w:hideMark/>
          </w:tcPr>
          <w:p w14:paraId="26E6B29A" w14:textId="49D75D69" w:rsidR="00CA5880" w:rsidRPr="00C74F0E" w:rsidRDefault="00CA5880" w:rsidP="00CA5880">
            <w:pPr>
              <w:widowControl/>
              <w:jc w:val="right"/>
              <w:rPr>
                <w:rFonts w:ascii="Century" w:eastAsia="游ゴシック" w:hAnsi="Century" w:cs="ＭＳ Ｐゴシック"/>
                <w:b/>
                <w:bCs/>
                <w:color w:val="000000"/>
                <w:kern w:val="0"/>
                <w:sz w:val="20"/>
                <w:szCs w:val="20"/>
              </w:rPr>
            </w:pPr>
            <w:r w:rsidRPr="00C74F0E">
              <w:rPr>
                <w:rFonts w:ascii="Century" w:hAnsi="Century"/>
                <w:b/>
                <w:bCs/>
              </w:rPr>
              <w:t>12.5%</w:t>
            </w:r>
          </w:p>
        </w:tc>
        <w:tc>
          <w:tcPr>
            <w:tcW w:w="1418" w:type="dxa"/>
            <w:tcBorders>
              <w:top w:val="nil"/>
              <w:left w:val="nil"/>
              <w:bottom w:val="nil"/>
              <w:right w:val="nil"/>
            </w:tcBorders>
            <w:shd w:val="clear" w:color="auto" w:fill="auto"/>
            <w:noWrap/>
            <w:hideMark/>
          </w:tcPr>
          <w:p w14:paraId="7B5E9682" w14:textId="0F99198A" w:rsidR="00CA5880" w:rsidRPr="00C74F0E" w:rsidRDefault="00CA5880" w:rsidP="00CA5880">
            <w:pPr>
              <w:widowControl/>
              <w:jc w:val="right"/>
              <w:rPr>
                <w:rFonts w:ascii="Century" w:eastAsia="游ゴシック" w:hAnsi="Century" w:cs="ＭＳ Ｐゴシック"/>
                <w:b/>
                <w:bCs/>
                <w:color w:val="000000"/>
                <w:kern w:val="0"/>
                <w:sz w:val="20"/>
                <w:szCs w:val="20"/>
              </w:rPr>
            </w:pPr>
            <w:r w:rsidRPr="00C74F0E">
              <w:rPr>
                <w:rFonts w:ascii="Century" w:hAnsi="Century"/>
                <w:b/>
                <w:bCs/>
              </w:rPr>
              <w:t>12.7%</w:t>
            </w:r>
          </w:p>
        </w:tc>
      </w:tr>
      <w:tr w:rsidR="00CA5880" w:rsidRPr="00F23D0D" w14:paraId="785C8FD1" w14:textId="77777777" w:rsidTr="00A5639E">
        <w:trPr>
          <w:trHeight w:val="340"/>
        </w:trPr>
        <w:tc>
          <w:tcPr>
            <w:tcW w:w="4111" w:type="dxa"/>
            <w:tcBorders>
              <w:top w:val="nil"/>
              <w:left w:val="nil"/>
              <w:bottom w:val="nil"/>
              <w:right w:val="nil"/>
            </w:tcBorders>
            <w:shd w:val="clear" w:color="auto" w:fill="auto"/>
            <w:noWrap/>
            <w:vAlign w:val="center"/>
            <w:hideMark/>
          </w:tcPr>
          <w:p w14:paraId="6273169F" w14:textId="77777777" w:rsidR="00CA5880" w:rsidRPr="0024372F" w:rsidRDefault="00CA5880" w:rsidP="00CA5880">
            <w:pPr>
              <w:widowControl/>
              <w:jc w:val="left"/>
              <w:rPr>
                <w:rFonts w:asciiTheme="minorEastAsia" w:hAnsiTheme="minorEastAsia" w:cs="ＭＳ Ｐゴシック"/>
                <w:color w:val="000000"/>
                <w:kern w:val="0"/>
                <w:sz w:val="20"/>
                <w:szCs w:val="20"/>
              </w:rPr>
            </w:pPr>
            <w:r w:rsidRPr="0024372F">
              <w:rPr>
                <w:rFonts w:asciiTheme="minorEastAsia" w:hAnsiTheme="minorEastAsia" w:cs="ＭＳ Ｐゴシック" w:hint="eastAsia"/>
                <w:color w:val="000000"/>
                <w:kern w:val="0"/>
                <w:sz w:val="20"/>
                <w:szCs w:val="20"/>
              </w:rPr>
              <w:t>純利益率</w:t>
            </w:r>
          </w:p>
        </w:tc>
        <w:tc>
          <w:tcPr>
            <w:tcW w:w="1418" w:type="dxa"/>
            <w:tcBorders>
              <w:top w:val="nil"/>
              <w:left w:val="nil"/>
              <w:bottom w:val="nil"/>
              <w:right w:val="nil"/>
            </w:tcBorders>
            <w:shd w:val="clear" w:color="auto" w:fill="auto"/>
            <w:noWrap/>
            <w:hideMark/>
          </w:tcPr>
          <w:p w14:paraId="7437C706" w14:textId="5BBB0928" w:rsidR="00CA5880" w:rsidRPr="00C74F0E" w:rsidRDefault="00CA5880" w:rsidP="00CA5880">
            <w:pPr>
              <w:widowControl/>
              <w:jc w:val="right"/>
              <w:rPr>
                <w:rFonts w:ascii="Century" w:eastAsia="游ゴシック" w:hAnsi="Century" w:cs="ＭＳ Ｐゴシック"/>
                <w:color w:val="000000"/>
                <w:kern w:val="0"/>
                <w:sz w:val="20"/>
                <w:szCs w:val="20"/>
              </w:rPr>
            </w:pPr>
            <w:r w:rsidRPr="00C74F0E">
              <w:rPr>
                <w:rFonts w:ascii="Century" w:hAnsi="Century"/>
              </w:rPr>
              <w:t>2.2%</w:t>
            </w:r>
          </w:p>
        </w:tc>
        <w:tc>
          <w:tcPr>
            <w:tcW w:w="1417" w:type="dxa"/>
            <w:tcBorders>
              <w:top w:val="nil"/>
              <w:left w:val="nil"/>
              <w:bottom w:val="nil"/>
              <w:right w:val="nil"/>
            </w:tcBorders>
            <w:shd w:val="clear" w:color="auto" w:fill="auto"/>
            <w:noWrap/>
            <w:hideMark/>
          </w:tcPr>
          <w:p w14:paraId="1ADB1549" w14:textId="120C39F6" w:rsidR="00CA5880" w:rsidRPr="00C74F0E" w:rsidRDefault="00CA5880" w:rsidP="00CA5880">
            <w:pPr>
              <w:widowControl/>
              <w:jc w:val="right"/>
              <w:rPr>
                <w:rFonts w:ascii="Century" w:eastAsia="游ゴシック" w:hAnsi="Century" w:cs="ＭＳ Ｐゴシック"/>
                <w:color w:val="000000"/>
                <w:kern w:val="0"/>
                <w:sz w:val="20"/>
                <w:szCs w:val="20"/>
              </w:rPr>
            </w:pPr>
            <w:r w:rsidRPr="00C74F0E">
              <w:rPr>
                <w:rFonts w:ascii="Century" w:hAnsi="Century"/>
              </w:rPr>
              <w:t>1.5%</w:t>
            </w:r>
          </w:p>
        </w:tc>
        <w:tc>
          <w:tcPr>
            <w:tcW w:w="1418" w:type="dxa"/>
            <w:tcBorders>
              <w:top w:val="nil"/>
              <w:left w:val="nil"/>
              <w:bottom w:val="nil"/>
              <w:right w:val="nil"/>
            </w:tcBorders>
            <w:shd w:val="clear" w:color="auto" w:fill="auto"/>
            <w:noWrap/>
            <w:hideMark/>
          </w:tcPr>
          <w:p w14:paraId="61CC5EC5" w14:textId="0E92D449" w:rsidR="00CA5880" w:rsidRPr="00C74F0E" w:rsidRDefault="00CA5880" w:rsidP="00CA5880">
            <w:pPr>
              <w:widowControl/>
              <w:jc w:val="right"/>
              <w:rPr>
                <w:rFonts w:ascii="Century" w:eastAsia="游ゴシック" w:hAnsi="Century" w:cs="ＭＳ Ｐゴシック"/>
                <w:color w:val="000000"/>
                <w:kern w:val="0"/>
                <w:sz w:val="20"/>
                <w:szCs w:val="20"/>
              </w:rPr>
            </w:pPr>
            <w:r w:rsidRPr="00C74F0E">
              <w:rPr>
                <w:rFonts w:ascii="Century" w:hAnsi="Century"/>
              </w:rPr>
              <w:t>1.5%</w:t>
            </w:r>
          </w:p>
        </w:tc>
      </w:tr>
      <w:tr w:rsidR="00CA5880" w:rsidRPr="00F23D0D" w14:paraId="247E7A7C" w14:textId="77777777" w:rsidTr="00A5639E">
        <w:trPr>
          <w:trHeight w:val="340"/>
        </w:trPr>
        <w:tc>
          <w:tcPr>
            <w:tcW w:w="4111" w:type="dxa"/>
            <w:tcBorders>
              <w:top w:val="nil"/>
              <w:left w:val="nil"/>
              <w:bottom w:val="nil"/>
              <w:right w:val="nil"/>
            </w:tcBorders>
            <w:shd w:val="clear" w:color="auto" w:fill="auto"/>
            <w:noWrap/>
            <w:vAlign w:val="center"/>
            <w:hideMark/>
          </w:tcPr>
          <w:p w14:paraId="1206467B" w14:textId="77777777" w:rsidR="00CA5880" w:rsidRPr="0024372F" w:rsidRDefault="00CA5880" w:rsidP="00CA5880">
            <w:pPr>
              <w:widowControl/>
              <w:jc w:val="left"/>
              <w:rPr>
                <w:rFonts w:asciiTheme="minorEastAsia" w:hAnsiTheme="minorEastAsia" w:cs="ＭＳ Ｐゴシック"/>
                <w:color w:val="000000"/>
                <w:kern w:val="0"/>
                <w:sz w:val="20"/>
                <w:szCs w:val="20"/>
              </w:rPr>
            </w:pPr>
            <w:r w:rsidRPr="0024372F">
              <w:rPr>
                <w:rFonts w:asciiTheme="minorEastAsia" w:hAnsiTheme="minorEastAsia" w:cs="ＭＳ Ｐゴシック" w:hint="eastAsia"/>
                <w:color w:val="000000"/>
                <w:kern w:val="0"/>
                <w:sz w:val="20"/>
                <w:szCs w:val="20"/>
              </w:rPr>
              <w:t>総資産回転率</w:t>
            </w:r>
          </w:p>
        </w:tc>
        <w:tc>
          <w:tcPr>
            <w:tcW w:w="1418" w:type="dxa"/>
            <w:tcBorders>
              <w:top w:val="nil"/>
              <w:left w:val="nil"/>
              <w:bottom w:val="nil"/>
              <w:right w:val="nil"/>
            </w:tcBorders>
            <w:shd w:val="clear" w:color="auto" w:fill="auto"/>
            <w:noWrap/>
            <w:hideMark/>
          </w:tcPr>
          <w:p w14:paraId="15CA9269" w14:textId="7826BA8C" w:rsidR="00CA5880" w:rsidRPr="00C74F0E" w:rsidRDefault="00CA5880" w:rsidP="00CA5880">
            <w:pPr>
              <w:widowControl/>
              <w:jc w:val="right"/>
              <w:rPr>
                <w:rFonts w:ascii="Century" w:eastAsia="游ゴシック" w:hAnsi="Century" w:cs="ＭＳ Ｐゴシック"/>
                <w:color w:val="000000"/>
                <w:kern w:val="0"/>
                <w:sz w:val="20"/>
                <w:szCs w:val="20"/>
              </w:rPr>
            </w:pPr>
            <w:r w:rsidRPr="00C74F0E">
              <w:rPr>
                <w:rFonts w:ascii="Century" w:hAnsi="Century"/>
              </w:rPr>
              <w:t>143.3%</w:t>
            </w:r>
          </w:p>
        </w:tc>
        <w:tc>
          <w:tcPr>
            <w:tcW w:w="1417" w:type="dxa"/>
            <w:tcBorders>
              <w:top w:val="nil"/>
              <w:left w:val="nil"/>
              <w:bottom w:val="nil"/>
              <w:right w:val="nil"/>
            </w:tcBorders>
            <w:shd w:val="clear" w:color="auto" w:fill="auto"/>
            <w:noWrap/>
            <w:hideMark/>
          </w:tcPr>
          <w:p w14:paraId="175F82B0" w14:textId="3569304D" w:rsidR="00CA5880" w:rsidRPr="00C74F0E" w:rsidRDefault="00CA5880" w:rsidP="00CA5880">
            <w:pPr>
              <w:widowControl/>
              <w:jc w:val="right"/>
              <w:rPr>
                <w:rFonts w:ascii="Century" w:eastAsia="游ゴシック" w:hAnsi="Century" w:cs="ＭＳ Ｐゴシック"/>
                <w:color w:val="000000"/>
                <w:kern w:val="0"/>
                <w:sz w:val="20"/>
                <w:szCs w:val="20"/>
              </w:rPr>
            </w:pPr>
            <w:r w:rsidRPr="00C74F0E">
              <w:rPr>
                <w:rFonts w:ascii="Century" w:hAnsi="Century"/>
              </w:rPr>
              <w:t>141.1%</w:t>
            </w:r>
          </w:p>
        </w:tc>
        <w:tc>
          <w:tcPr>
            <w:tcW w:w="1418" w:type="dxa"/>
            <w:tcBorders>
              <w:top w:val="nil"/>
              <w:left w:val="nil"/>
              <w:bottom w:val="nil"/>
              <w:right w:val="nil"/>
            </w:tcBorders>
            <w:shd w:val="clear" w:color="auto" w:fill="auto"/>
            <w:noWrap/>
            <w:hideMark/>
          </w:tcPr>
          <w:p w14:paraId="46256AC9" w14:textId="797E92AB" w:rsidR="00CA5880" w:rsidRPr="00C74F0E" w:rsidRDefault="00CA5880" w:rsidP="00CA5880">
            <w:pPr>
              <w:widowControl/>
              <w:jc w:val="right"/>
              <w:rPr>
                <w:rFonts w:ascii="Century" w:eastAsia="游ゴシック" w:hAnsi="Century" w:cs="ＭＳ Ｐゴシック"/>
                <w:color w:val="000000"/>
                <w:kern w:val="0"/>
                <w:sz w:val="20"/>
                <w:szCs w:val="20"/>
              </w:rPr>
            </w:pPr>
            <w:r w:rsidRPr="00C74F0E">
              <w:rPr>
                <w:rFonts w:ascii="Century" w:hAnsi="Century"/>
              </w:rPr>
              <w:t>140.0%</w:t>
            </w:r>
          </w:p>
        </w:tc>
      </w:tr>
      <w:tr w:rsidR="00CA5880" w:rsidRPr="00F23D0D" w14:paraId="4DFBF3B8" w14:textId="77777777" w:rsidTr="00A5639E">
        <w:trPr>
          <w:trHeight w:val="340"/>
        </w:trPr>
        <w:tc>
          <w:tcPr>
            <w:tcW w:w="4111" w:type="dxa"/>
            <w:tcBorders>
              <w:top w:val="nil"/>
              <w:left w:val="nil"/>
              <w:bottom w:val="single" w:sz="4" w:space="0" w:color="auto"/>
              <w:right w:val="nil"/>
            </w:tcBorders>
            <w:shd w:val="clear" w:color="auto" w:fill="auto"/>
            <w:noWrap/>
            <w:vAlign w:val="center"/>
            <w:hideMark/>
          </w:tcPr>
          <w:p w14:paraId="232DBC3E" w14:textId="77777777" w:rsidR="00CA5880" w:rsidRPr="0024372F" w:rsidRDefault="00CA5880" w:rsidP="00CA5880">
            <w:pPr>
              <w:widowControl/>
              <w:jc w:val="left"/>
              <w:rPr>
                <w:rFonts w:asciiTheme="minorEastAsia" w:hAnsiTheme="minorEastAsia" w:cs="ＭＳ Ｐゴシック"/>
                <w:color w:val="000000"/>
                <w:kern w:val="0"/>
                <w:sz w:val="20"/>
                <w:szCs w:val="20"/>
              </w:rPr>
            </w:pPr>
            <w:r w:rsidRPr="0024372F">
              <w:rPr>
                <w:rFonts w:asciiTheme="minorEastAsia" w:hAnsiTheme="minorEastAsia" w:cs="ＭＳ Ｐゴシック" w:hint="eastAsia"/>
                <w:color w:val="000000"/>
                <w:kern w:val="0"/>
                <w:sz w:val="20"/>
                <w:szCs w:val="20"/>
              </w:rPr>
              <w:t>財務レバレッジ</w:t>
            </w:r>
          </w:p>
          <w:p w14:paraId="2C9B5E28" w14:textId="77777777" w:rsidR="00CA5880" w:rsidRPr="0024372F" w:rsidRDefault="00CA5880" w:rsidP="00CA5880">
            <w:pPr>
              <w:widowControl/>
              <w:jc w:val="left"/>
              <w:rPr>
                <w:rFonts w:asciiTheme="minorEastAsia" w:hAnsiTheme="minorEastAsia" w:cs="ＭＳ Ｐゴシック"/>
                <w:color w:val="000000"/>
                <w:kern w:val="0"/>
                <w:sz w:val="20"/>
                <w:szCs w:val="20"/>
              </w:rPr>
            </w:pPr>
            <w:r w:rsidRPr="0024372F">
              <w:rPr>
                <w:rFonts w:asciiTheme="minorEastAsia" w:hAnsiTheme="minorEastAsia" w:cs="ＭＳ Ｐゴシック" w:hint="eastAsia"/>
                <w:color w:val="000000"/>
                <w:kern w:val="0"/>
                <w:sz w:val="20"/>
                <w:szCs w:val="20"/>
              </w:rPr>
              <w:t xml:space="preserve">　自己資本比率</w:t>
            </w:r>
          </w:p>
        </w:tc>
        <w:tc>
          <w:tcPr>
            <w:tcW w:w="1418" w:type="dxa"/>
            <w:tcBorders>
              <w:top w:val="nil"/>
              <w:left w:val="nil"/>
              <w:bottom w:val="single" w:sz="4" w:space="0" w:color="auto"/>
              <w:right w:val="nil"/>
            </w:tcBorders>
            <w:shd w:val="clear" w:color="auto" w:fill="auto"/>
            <w:noWrap/>
            <w:hideMark/>
          </w:tcPr>
          <w:p w14:paraId="33835A3C" w14:textId="77777777" w:rsidR="00CA5880" w:rsidRPr="00C74F0E" w:rsidRDefault="00CA5880" w:rsidP="00CA5880">
            <w:pPr>
              <w:widowControl/>
              <w:jc w:val="right"/>
              <w:rPr>
                <w:rFonts w:ascii="Century" w:hAnsi="Century"/>
              </w:rPr>
            </w:pPr>
            <w:r w:rsidRPr="00C74F0E">
              <w:rPr>
                <w:rFonts w:ascii="Century" w:hAnsi="Century"/>
              </w:rPr>
              <w:t>4.9</w:t>
            </w:r>
          </w:p>
          <w:p w14:paraId="1760EB77" w14:textId="2E21F168" w:rsidR="00CA5880" w:rsidRPr="00C74F0E" w:rsidRDefault="00CA5880" w:rsidP="00CA5880">
            <w:pPr>
              <w:widowControl/>
              <w:jc w:val="right"/>
              <w:rPr>
                <w:rFonts w:ascii="Century" w:eastAsia="游ゴシック" w:hAnsi="Century" w:cs="ＭＳ Ｐゴシック"/>
                <w:color w:val="000000"/>
                <w:kern w:val="0"/>
                <w:sz w:val="20"/>
                <w:szCs w:val="20"/>
              </w:rPr>
            </w:pPr>
            <w:r w:rsidRPr="00C74F0E">
              <w:rPr>
                <w:rFonts w:ascii="Century" w:hAnsi="Century"/>
              </w:rPr>
              <w:t>20.3</w:t>
            </w:r>
            <w:r w:rsidRPr="00C74F0E">
              <w:rPr>
                <w:rFonts w:ascii="Century" w:hAnsi="Century"/>
              </w:rPr>
              <w:t>％</w:t>
            </w:r>
            <w:r w:rsidRPr="00C74F0E">
              <w:rPr>
                <w:rFonts w:ascii="Century" w:hAnsi="Century"/>
              </w:rPr>
              <w:t xml:space="preserve"> </w:t>
            </w:r>
          </w:p>
        </w:tc>
        <w:tc>
          <w:tcPr>
            <w:tcW w:w="1417" w:type="dxa"/>
            <w:tcBorders>
              <w:top w:val="nil"/>
              <w:left w:val="nil"/>
              <w:bottom w:val="single" w:sz="4" w:space="0" w:color="auto"/>
              <w:right w:val="nil"/>
            </w:tcBorders>
            <w:shd w:val="clear" w:color="auto" w:fill="auto"/>
            <w:noWrap/>
            <w:hideMark/>
          </w:tcPr>
          <w:p w14:paraId="40F6CEEC" w14:textId="77777777" w:rsidR="00CA5880" w:rsidRPr="00C74F0E" w:rsidRDefault="00CA5880" w:rsidP="00CA5880">
            <w:pPr>
              <w:widowControl/>
              <w:jc w:val="right"/>
              <w:rPr>
                <w:rFonts w:ascii="Century" w:hAnsi="Century"/>
              </w:rPr>
            </w:pPr>
            <w:r w:rsidRPr="00C74F0E">
              <w:rPr>
                <w:rFonts w:ascii="Century" w:hAnsi="Century"/>
              </w:rPr>
              <w:t>5.9</w:t>
            </w:r>
          </w:p>
          <w:p w14:paraId="3CE406F5" w14:textId="4192C08F" w:rsidR="00CA5880" w:rsidRPr="00C74F0E" w:rsidRDefault="00CA5880" w:rsidP="00CA5880">
            <w:pPr>
              <w:widowControl/>
              <w:jc w:val="right"/>
              <w:rPr>
                <w:rFonts w:ascii="Century" w:eastAsia="游ゴシック" w:hAnsi="Century" w:cs="ＭＳ Ｐゴシック"/>
                <w:color w:val="000000"/>
                <w:kern w:val="0"/>
                <w:sz w:val="20"/>
                <w:szCs w:val="20"/>
              </w:rPr>
            </w:pPr>
            <w:r w:rsidRPr="00C74F0E">
              <w:rPr>
                <w:rFonts w:ascii="Century" w:hAnsi="Century"/>
              </w:rPr>
              <w:t xml:space="preserve">17.1% </w:t>
            </w:r>
          </w:p>
        </w:tc>
        <w:tc>
          <w:tcPr>
            <w:tcW w:w="1418" w:type="dxa"/>
            <w:tcBorders>
              <w:top w:val="nil"/>
              <w:left w:val="nil"/>
              <w:bottom w:val="single" w:sz="4" w:space="0" w:color="auto"/>
              <w:right w:val="nil"/>
            </w:tcBorders>
            <w:shd w:val="clear" w:color="auto" w:fill="auto"/>
            <w:noWrap/>
            <w:hideMark/>
          </w:tcPr>
          <w:p w14:paraId="1E502285" w14:textId="77777777" w:rsidR="00CA5880" w:rsidRPr="00C74F0E" w:rsidRDefault="00CA5880" w:rsidP="00CA5880">
            <w:pPr>
              <w:widowControl/>
              <w:jc w:val="right"/>
              <w:rPr>
                <w:rFonts w:ascii="Century" w:hAnsi="Century"/>
              </w:rPr>
            </w:pPr>
            <w:r w:rsidRPr="00C74F0E">
              <w:rPr>
                <w:rFonts w:ascii="Century" w:hAnsi="Century"/>
              </w:rPr>
              <w:t>6.0</w:t>
            </w:r>
          </w:p>
          <w:p w14:paraId="79EB2BCB" w14:textId="70D5FC7F" w:rsidR="00CA5880" w:rsidRPr="00C74F0E" w:rsidRDefault="00CA5880" w:rsidP="00CA5880">
            <w:pPr>
              <w:widowControl/>
              <w:jc w:val="right"/>
              <w:rPr>
                <w:rFonts w:ascii="Century" w:eastAsia="游ゴシック" w:hAnsi="Century" w:cs="ＭＳ Ｐゴシック"/>
                <w:color w:val="000000"/>
                <w:kern w:val="0"/>
                <w:sz w:val="20"/>
                <w:szCs w:val="20"/>
              </w:rPr>
            </w:pPr>
            <w:r w:rsidRPr="00C74F0E">
              <w:rPr>
                <w:rFonts w:ascii="Century" w:hAnsi="Century"/>
              </w:rPr>
              <w:t xml:space="preserve">16.8% </w:t>
            </w:r>
          </w:p>
        </w:tc>
      </w:tr>
    </w:tbl>
    <w:p w14:paraId="55C1C61D" w14:textId="12DB4AB4" w:rsidR="00DD0703" w:rsidRPr="0012638A" w:rsidRDefault="00DD0703" w:rsidP="00DD0703">
      <w:r>
        <w:rPr>
          <w:rFonts w:hint="eastAsia"/>
        </w:rPr>
        <w:t>出典：</w:t>
      </w:r>
      <w:r w:rsidR="00A5639E" w:rsidRPr="00DD0703">
        <w:rPr>
          <w:rFonts w:hint="eastAsia"/>
        </w:rPr>
        <w:t>エイチ・アイ・エス</w:t>
      </w:r>
      <w:r w:rsidR="00A5639E">
        <w:rPr>
          <w:rFonts w:hint="eastAsia"/>
        </w:rPr>
        <w:t>社</w:t>
      </w:r>
      <w:r w:rsidR="00AF3BD8">
        <w:rPr>
          <w:rFonts w:hint="eastAsia"/>
        </w:rPr>
        <w:t>「有価証券報告書」</w:t>
      </w:r>
      <w:r>
        <w:rPr>
          <w:rFonts w:hint="eastAsia"/>
        </w:rPr>
        <w:t>より筆者作成。</w:t>
      </w:r>
    </w:p>
    <w:p w14:paraId="1A398662" w14:textId="77777777" w:rsidR="002573EA" w:rsidRDefault="002573EA" w:rsidP="0005355D"/>
    <w:p w14:paraId="45F5AD11" w14:textId="7949099A" w:rsidR="0005355D" w:rsidRPr="009E0ABF" w:rsidRDefault="002573EA" w:rsidP="0005355D">
      <w:pPr>
        <w:rPr>
          <w:b/>
          <w:bCs/>
        </w:rPr>
      </w:pPr>
      <w:r>
        <w:rPr>
          <w:b/>
          <w:bCs/>
        </w:rPr>
        <w:t>3</w:t>
      </w:r>
      <w:r w:rsidR="0005355D" w:rsidRPr="009E0ABF">
        <w:rPr>
          <w:rFonts w:hint="eastAsia"/>
          <w:b/>
          <w:bCs/>
        </w:rPr>
        <w:t>－１－</w:t>
      </w:r>
      <w:r w:rsidR="0005355D">
        <w:rPr>
          <w:b/>
          <w:bCs/>
        </w:rPr>
        <w:t>3</w:t>
      </w:r>
      <w:r w:rsidR="0005355D" w:rsidRPr="009E0ABF">
        <w:rPr>
          <w:rFonts w:hint="eastAsia"/>
          <w:b/>
          <w:bCs/>
        </w:rPr>
        <w:t>．エイチ・アイ・エス社</w:t>
      </w:r>
      <w:r w:rsidR="0005355D">
        <w:rPr>
          <w:rFonts w:hint="eastAsia"/>
          <w:b/>
          <w:bCs/>
        </w:rPr>
        <w:t>の安全性分析</w:t>
      </w:r>
    </w:p>
    <w:p w14:paraId="7B56C0EA" w14:textId="7975A11E" w:rsidR="00914AD4" w:rsidRDefault="00C04CB0" w:rsidP="00914AD4">
      <w:r>
        <w:rPr>
          <w:rFonts w:hint="eastAsia"/>
        </w:rPr>
        <w:t xml:space="preserve">　表1</w:t>
      </w:r>
      <w:r w:rsidR="001D30E8">
        <w:t>5</w:t>
      </w:r>
      <w:r>
        <w:rPr>
          <w:rFonts w:hint="eastAsia"/>
        </w:rPr>
        <w:t>は、H</w:t>
      </w:r>
      <w:r>
        <w:t>IS</w:t>
      </w:r>
      <w:r>
        <w:rPr>
          <w:rFonts w:hint="eastAsia"/>
        </w:rPr>
        <w:t>社の安全性分析の指標をまとめたものである。</w:t>
      </w:r>
      <w:r w:rsidR="007B4DE0">
        <w:rPr>
          <w:rFonts w:hint="eastAsia"/>
        </w:rPr>
        <w:t>2020年度第2四半期</w:t>
      </w:r>
      <w:r w:rsidR="00EF02F3">
        <w:rPr>
          <w:rFonts w:hint="eastAsia"/>
        </w:rPr>
        <w:t>の財務安全性の指標をみると、自己資本比率は上昇</w:t>
      </w:r>
      <w:r w:rsidR="00BA4524">
        <w:rPr>
          <w:rFonts w:hint="eastAsia"/>
        </w:rPr>
        <w:t>傾向にあり</w:t>
      </w:r>
      <w:r w:rsidR="00EF02F3">
        <w:rPr>
          <w:rFonts w:hint="eastAsia"/>
        </w:rPr>
        <w:t>、</w:t>
      </w:r>
      <w:r w:rsidR="00BA4524">
        <w:rPr>
          <w:rFonts w:hint="eastAsia"/>
        </w:rPr>
        <w:t>それに付随して</w:t>
      </w:r>
      <w:r w:rsidR="00EF02F3">
        <w:rPr>
          <w:rFonts w:hint="eastAsia"/>
        </w:rPr>
        <w:t>財務レバレッジ</w:t>
      </w:r>
      <w:r w:rsidR="00BA4524">
        <w:rPr>
          <w:rFonts w:hint="eastAsia"/>
        </w:rPr>
        <w:t>も</w:t>
      </w:r>
      <w:r w:rsidR="00EF02F3">
        <w:rPr>
          <w:rFonts w:hint="eastAsia"/>
        </w:rPr>
        <w:t>低下</w:t>
      </w:r>
      <w:r w:rsidR="00BA4524">
        <w:rPr>
          <w:rFonts w:hint="eastAsia"/>
        </w:rPr>
        <w:t>していることから</w:t>
      </w:r>
      <w:r w:rsidR="00EF02F3">
        <w:rPr>
          <w:rFonts w:hint="eastAsia"/>
        </w:rPr>
        <w:t>、</w:t>
      </w:r>
      <w:r w:rsidR="00BA4524">
        <w:rPr>
          <w:rFonts w:hint="eastAsia"/>
        </w:rPr>
        <w:t>財務上の安全性は高まっている。また、</w:t>
      </w:r>
      <w:r w:rsidR="00EF02F3">
        <w:rPr>
          <w:rFonts w:hint="eastAsia"/>
        </w:rPr>
        <w:t>流動比率</w:t>
      </w:r>
      <w:r w:rsidR="00BA4524">
        <w:rPr>
          <w:rFonts w:hint="eastAsia"/>
        </w:rPr>
        <w:t>も改善され</w:t>
      </w:r>
      <w:r w:rsidR="00EF02F3">
        <w:rPr>
          <w:rFonts w:hint="eastAsia"/>
        </w:rPr>
        <w:t>、</w:t>
      </w:r>
      <w:r w:rsidR="00BA4524">
        <w:rPr>
          <w:rFonts w:hint="eastAsia"/>
        </w:rPr>
        <w:t>固定長期適合比率も1</w:t>
      </w:r>
      <w:r w:rsidR="00BA4524">
        <w:t>00%</w:t>
      </w:r>
      <w:r w:rsidR="00BA4524">
        <w:rPr>
          <w:rFonts w:hint="eastAsia"/>
        </w:rPr>
        <w:t>（1倍）を切っているため、現状は</w:t>
      </w:r>
      <w:r w:rsidR="00EF02F3">
        <w:rPr>
          <w:rFonts w:hint="eastAsia"/>
        </w:rPr>
        <w:t>短期的</w:t>
      </w:r>
      <w:r w:rsidR="00BA4524">
        <w:rPr>
          <w:rFonts w:hint="eastAsia"/>
        </w:rPr>
        <w:t>にも長期的にも</w:t>
      </w:r>
      <w:r w:rsidR="00EF02F3">
        <w:rPr>
          <w:rFonts w:hint="eastAsia"/>
        </w:rPr>
        <w:t>財務安全性は確保されている</w:t>
      </w:r>
      <w:r w:rsidR="00BA4524">
        <w:rPr>
          <w:rFonts w:hint="eastAsia"/>
        </w:rPr>
        <w:t>と考えられる</w:t>
      </w:r>
      <w:r w:rsidR="00EF02F3">
        <w:rPr>
          <w:rFonts w:hint="eastAsia"/>
        </w:rPr>
        <w:t>。</w:t>
      </w:r>
    </w:p>
    <w:p w14:paraId="265F3D63" w14:textId="5B32360F" w:rsidR="003C2177" w:rsidRDefault="00BA4524" w:rsidP="00BA4524">
      <w:pPr>
        <w:ind w:firstLineChars="100" w:firstLine="210"/>
      </w:pPr>
      <w:r>
        <w:rPr>
          <w:rFonts w:hint="eastAsia"/>
        </w:rPr>
        <w:t>しかし、</w:t>
      </w:r>
      <w:r w:rsidR="00EF02F3">
        <w:rPr>
          <w:rFonts w:hint="eastAsia"/>
        </w:rPr>
        <w:t>一方で</w:t>
      </w:r>
      <w:r>
        <w:rPr>
          <w:rFonts w:hint="eastAsia"/>
        </w:rPr>
        <w:t>は</w:t>
      </w:r>
      <w:r w:rsidR="00EF02F3">
        <w:rPr>
          <w:rFonts w:hint="eastAsia"/>
        </w:rPr>
        <w:t>、固定比率は</w:t>
      </w:r>
      <w:r w:rsidR="00EF02F3">
        <w:t>300%</w:t>
      </w:r>
      <w:r w:rsidR="00EF02F3">
        <w:rPr>
          <w:rFonts w:hint="eastAsia"/>
        </w:rPr>
        <w:t>を超え、ネットD</w:t>
      </w:r>
      <w:r w:rsidR="00EF02F3">
        <w:t>/E</w:t>
      </w:r>
      <w:r w:rsidR="00EF02F3">
        <w:rPr>
          <w:rFonts w:hint="eastAsia"/>
        </w:rPr>
        <w:t>レシオは2019年10月以降、急激に上昇し始め、1</w:t>
      </w:r>
      <w:r w:rsidR="00EF02F3">
        <w:t>32%</w:t>
      </w:r>
      <w:r w:rsidR="00EF02F3">
        <w:rPr>
          <w:rFonts w:hint="eastAsia"/>
        </w:rPr>
        <w:t>まで悪化している。これは、売上高の減少によ</w:t>
      </w:r>
      <w:r w:rsidR="00914AD4">
        <w:rPr>
          <w:rFonts w:hint="eastAsia"/>
        </w:rPr>
        <w:t>るキャッシュフローの悪化、長期借入金の増加に伴い、有利子負債を短期資金</w:t>
      </w:r>
      <w:r w:rsidR="00C61B06">
        <w:rPr>
          <w:rFonts w:hint="eastAsia"/>
        </w:rPr>
        <w:t>のみ</w:t>
      </w:r>
      <w:r w:rsidR="00914AD4">
        <w:rPr>
          <w:rFonts w:hint="eastAsia"/>
        </w:rPr>
        <w:t>で賄うだけの余力がないこと</w:t>
      </w:r>
      <w:r w:rsidR="00C61B06">
        <w:rPr>
          <w:rFonts w:hint="eastAsia"/>
        </w:rPr>
        <w:t>が</w:t>
      </w:r>
      <w:r w:rsidR="009C6029">
        <w:rPr>
          <w:rFonts w:hint="eastAsia"/>
        </w:rPr>
        <w:t>考えられる</w:t>
      </w:r>
      <w:r w:rsidR="00C61B06">
        <w:rPr>
          <w:rFonts w:hint="eastAsia"/>
        </w:rPr>
        <w:t>。</w:t>
      </w:r>
    </w:p>
    <w:p w14:paraId="11915B13" w14:textId="508300CB" w:rsidR="00BA4524" w:rsidRDefault="00BA4524" w:rsidP="00BA4524"/>
    <w:p w14:paraId="4CC241D7" w14:textId="77777777" w:rsidR="009C6029" w:rsidRDefault="009C6029" w:rsidP="00BA4524"/>
    <w:p w14:paraId="07440343" w14:textId="510C8277" w:rsidR="00C04CB0" w:rsidRPr="00C04CB0" w:rsidRDefault="00C04CB0" w:rsidP="00C04CB0">
      <w:pPr>
        <w:widowControl/>
        <w:jc w:val="left"/>
      </w:pPr>
      <w:r>
        <w:rPr>
          <w:rFonts w:hint="eastAsia"/>
        </w:rPr>
        <w:t>表</w:t>
      </w:r>
      <w:r w:rsidR="007B4DE0">
        <w:rPr>
          <w:rFonts w:hint="eastAsia"/>
        </w:rPr>
        <w:t>1</w:t>
      </w:r>
      <w:r w:rsidR="007B4DE0">
        <w:t>5</w:t>
      </w:r>
      <w:r>
        <w:rPr>
          <w:rFonts w:hint="eastAsia"/>
        </w:rPr>
        <w:t xml:space="preserve">　</w:t>
      </w:r>
      <w:r w:rsidRPr="00DD0703">
        <w:rPr>
          <w:rFonts w:hint="eastAsia"/>
        </w:rPr>
        <w:t>エイチ・アイ・エス</w:t>
      </w:r>
      <w:r>
        <w:rPr>
          <w:rFonts w:hint="eastAsia"/>
        </w:rPr>
        <w:t>社の安全性分析（四半期）</w:t>
      </w:r>
    </w:p>
    <w:tbl>
      <w:tblPr>
        <w:tblW w:w="0" w:type="auto"/>
        <w:tblInd w:w="-30" w:type="dxa"/>
        <w:tblLayout w:type="fixed"/>
        <w:tblCellMar>
          <w:left w:w="99" w:type="dxa"/>
          <w:right w:w="99" w:type="dxa"/>
        </w:tblCellMar>
        <w:tblLook w:val="0000" w:firstRow="0" w:lastRow="0" w:firstColumn="0" w:lastColumn="0" w:noHBand="0" w:noVBand="0"/>
      </w:tblPr>
      <w:tblGrid>
        <w:gridCol w:w="2491"/>
        <w:gridCol w:w="977"/>
        <w:gridCol w:w="977"/>
        <w:gridCol w:w="977"/>
        <w:gridCol w:w="976"/>
        <w:gridCol w:w="977"/>
        <w:gridCol w:w="977"/>
      </w:tblGrid>
      <w:tr w:rsidR="00C04CB0" w14:paraId="6CF58F87" w14:textId="77777777" w:rsidTr="00C04CB0">
        <w:trPr>
          <w:trHeight w:val="319"/>
        </w:trPr>
        <w:tc>
          <w:tcPr>
            <w:tcW w:w="2491" w:type="dxa"/>
            <w:tcBorders>
              <w:top w:val="single" w:sz="6" w:space="0" w:color="auto"/>
              <w:left w:val="nil"/>
              <w:bottom w:val="nil"/>
              <w:right w:val="nil"/>
            </w:tcBorders>
          </w:tcPr>
          <w:p w14:paraId="032B75F0" w14:textId="196C6741" w:rsidR="00C04CB0" w:rsidRDefault="00C04CB0">
            <w:pPr>
              <w:autoSpaceDE w:val="0"/>
              <w:autoSpaceDN w:val="0"/>
              <w:adjustRightInd w:val="0"/>
              <w:jc w:val="left"/>
              <w:rPr>
                <w:rFonts w:ascii="Calibri" w:hAnsi="Calibri" w:cs="Calibri"/>
                <w:b/>
                <w:bCs/>
                <w:color w:val="000000"/>
                <w:kern w:val="0"/>
                <w:sz w:val="20"/>
                <w:szCs w:val="20"/>
              </w:rPr>
            </w:pPr>
            <w:r>
              <w:rPr>
                <w:rFonts w:ascii="Calibri" w:hAnsi="Calibri" w:cs="Calibri"/>
                <w:b/>
                <w:bCs/>
                <w:color w:val="000000"/>
                <w:kern w:val="0"/>
                <w:sz w:val="20"/>
                <w:szCs w:val="20"/>
              </w:rPr>
              <w:t>安全性</w:t>
            </w:r>
            <w:r w:rsidR="00E841D4">
              <w:rPr>
                <w:rFonts w:ascii="Calibri" w:hAnsi="Calibri" w:cs="Calibri" w:hint="eastAsia"/>
                <w:b/>
                <w:bCs/>
                <w:color w:val="000000"/>
                <w:kern w:val="0"/>
                <w:sz w:val="20"/>
                <w:szCs w:val="20"/>
              </w:rPr>
              <w:t>分析</w:t>
            </w:r>
          </w:p>
        </w:tc>
        <w:tc>
          <w:tcPr>
            <w:tcW w:w="977" w:type="dxa"/>
            <w:tcBorders>
              <w:top w:val="single" w:sz="6" w:space="0" w:color="000000"/>
              <w:left w:val="nil"/>
              <w:bottom w:val="single" w:sz="6" w:space="0" w:color="000000"/>
              <w:right w:val="nil"/>
            </w:tcBorders>
          </w:tcPr>
          <w:p w14:paraId="35581AE1" w14:textId="77777777" w:rsidR="00C04CB0" w:rsidRPr="00C74F0E" w:rsidRDefault="00C04CB0">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19.Q1</w:t>
            </w:r>
          </w:p>
        </w:tc>
        <w:tc>
          <w:tcPr>
            <w:tcW w:w="977" w:type="dxa"/>
            <w:tcBorders>
              <w:top w:val="single" w:sz="6" w:space="0" w:color="000000"/>
              <w:left w:val="nil"/>
              <w:bottom w:val="single" w:sz="6" w:space="0" w:color="000000"/>
              <w:right w:val="nil"/>
            </w:tcBorders>
          </w:tcPr>
          <w:p w14:paraId="100C0767" w14:textId="77777777" w:rsidR="00C04CB0" w:rsidRPr="00C74F0E" w:rsidRDefault="00C04CB0">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19.Q2</w:t>
            </w:r>
          </w:p>
        </w:tc>
        <w:tc>
          <w:tcPr>
            <w:tcW w:w="977" w:type="dxa"/>
            <w:tcBorders>
              <w:top w:val="single" w:sz="6" w:space="0" w:color="000000"/>
              <w:left w:val="nil"/>
              <w:bottom w:val="single" w:sz="6" w:space="0" w:color="000000"/>
              <w:right w:val="nil"/>
            </w:tcBorders>
          </w:tcPr>
          <w:p w14:paraId="3884C6D8" w14:textId="77777777" w:rsidR="00C04CB0" w:rsidRPr="00C74F0E" w:rsidRDefault="00C04CB0">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19.Q3</w:t>
            </w:r>
          </w:p>
        </w:tc>
        <w:tc>
          <w:tcPr>
            <w:tcW w:w="976" w:type="dxa"/>
            <w:tcBorders>
              <w:top w:val="single" w:sz="6" w:space="0" w:color="000000"/>
              <w:left w:val="nil"/>
              <w:bottom w:val="single" w:sz="6" w:space="0" w:color="000000"/>
              <w:right w:val="nil"/>
            </w:tcBorders>
          </w:tcPr>
          <w:p w14:paraId="58CD30CC" w14:textId="77777777" w:rsidR="00C04CB0" w:rsidRPr="00C74F0E" w:rsidRDefault="00C04CB0">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19.Q4</w:t>
            </w:r>
          </w:p>
        </w:tc>
        <w:tc>
          <w:tcPr>
            <w:tcW w:w="977" w:type="dxa"/>
            <w:tcBorders>
              <w:top w:val="single" w:sz="6" w:space="0" w:color="000000"/>
              <w:left w:val="nil"/>
              <w:bottom w:val="single" w:sz="6" w:space="0" w:color="000000"/>
              <w:right w:val="nil"/>
            </w:tcBorders>
          </w:tcPr>
          <w:p w14:paraId="52D5E444" w14:textId="77777777" w:rsidR="00C04CB0" w:rsidRPr="00C74F0E" w:rsidRDefault="00C04CB0">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20.Q1</w:t>
            </w:r>
          </w:p>
        </w:tc>
        <w:tc>
          <w:tcPr>
            <w:tcW w:w="977" w:type="dxa"/>
            <w:tcBorders>
              <w:top w:val="single" w:sz="6" w:space="0" w:color="000000"/>
              <w:left w:val="nil"/>
              <w:bottom w:val="single" w:sz="6" w:space="0" w:color="000000"/>
              <w:right w:val="nil"/>
            </w:tcBorders>
          </w:tcPr>
          <w:p w14:paraId="72A2DC97" w14:textId="77777777" w:rsidR="00C04CB0" w:rsidRPr="00C74F0E" w:rsidRDefault="00C04CB0">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20.Q2</w:t>
            </w:r>
          </w:p>
        </w:tc>
      </w:tr>
      <w:tr w:rsidR="00C04CB0" w14:paraId="2B043115" w14:textId="77777777" w:rsidTr="00C04CB0">
        <w:trPr>
          <w:trHeight w:val="319"/>
        </w:trPr>
        <w:tc>
          <w:tcPr>
            <w:tcW w:w="2491" w:type="dxa"/>
            <w:tcBorders>
              <w:top w:val="single" w:sz="6" w:space="0" w:color="auto"/>
              <w:left w:val="nil"/>
              <w:bottom w:val="nil"/>
              <w:right w:val="nil"/>
            </w:tcBorders>
          </w:tcPr>
          <w:p w14:paraId="239025DB" w14:textId="77777777" w:rsidR="00C04CB0" w:rsidRPr="00C04CB0" w:rsidRDefault="00C04CB0">
            <w:pPr>
              <w:autoSpaceDE w:val="0"/>
              <w:autoSpaceDN w:val="0"/>
              <w:adjustRightInd w:val="0"/>
              <w:jc w:val="left"/>
              <w:rPr>
                <w:rFonts w:asciiTheme="minorEastAsia" w:hAnsiTheme="minorEastAsia" w:cs="Calibri"/>
                <w:color w:val="000000"/>
                <w:kern w:val="0"/>
                <w:sz w:val="20"/>
                <w:szCs w:val="20"/>
              </w:rPr>
            </w:pPr>
            <w:r w:rsidRPr="00C04CB0">
              <w:rPr>
                <w:rFonts w:asciiTheme="minorEastAsia" w:hAnsiTheme="minorEastAsia" w:cs="Calibri"/>
                <w:color w:val="000000"/>
                <w:kern w:val="0"/>
                <w:sz w:val="20"/>
                <w:szCs w:val="20"/>
              </w:rPr>
              <w:t>自己資本比率</w:t>
            </w:r>
          </w:p>
        </w:tc>
        <w:tc>
          <w:tcPr>
            <w:tcW w:w="977" w:type="dxa"/>
            <w:tcBorders>
              <w:top w:val="single" w:sz="6" w:space="0" w:color="auto"/>
              <w:left w:val="nil"/>
              <w:bottom w:val="nil"/>
              <w:right w:val="nil"/>
            </w:tcBorders>
          </w:tcPr>
          <w:p w14:paraId="6C09071E" w14:textId="77777777" w:rsidR="00C04CB0" w:rsidRPr="00C74F0E" w:rsidRDefault="00C04CB0">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15.4%</w:t>
            </w:r>
          </w:p>
        </w:tc>
        <w:tc>
          <w:tcPr>
            <w:tcW w:w="977" w:type="dxa"/>
            <w:tcBorders>
              <w:top w:val="single" w:sz="6" w:space="0" w:color="auto"/>
              <w:left w:val="nil"/>
              <w:bottom w:val="nil"/>
              <w:right w:val="nil"/>
            </w:tcBorders>
          </w:tcPr>
          <w:p w14:paraId="3162EB75" w14:textId="77777777" w:rsidR="00C04CB0" w:rsidRPr="00C74F0E" w:rsidRDefault="00C04CB0">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16.0%</w:t>
            </w:r>
          </w:p>
        </w:tc>
        <w:tc>
          <w:tcPr>
            <w:tcW w:w="977" w:type="dxa"/>
            <w:tcBorders>
              <w:top w:val="single" w:sz="6" w:space="0" w:color="auto"/>
              <w:left w:val="nil"/>
              <w:bottom w:val="nil"/>
              <w:right w:val="nil"/>
            </w:tcBorders>
          </w:tcPr>
          <w:p w14:paraId="3AEFAE29" w14:textId="77777777" w:rsidR="00C04CB0" w:rsidRPr="00C74F0E" w:rsidRDefault="00C04CB0">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14.5%</w:t>
            </w:r>
          </w:p>
        </w:tc>
        <w:tc>
          <w:tcPr>
            <w:tcW w:w="976" w:type="dxa"/>
            <w:tcBorders>
              <w:top w:val="single" w:sz="6" w:space="0" w:color="auto"/>
              <w:left w:val="nil"/>
              <w:bottom w:val="nil"/>
              <w:right w:val="nil"/>
            </w:tcBorders>
          </w:tcPr>
          <w:p w14:paraId="17F93FC0" w14:textId="77777777" w:rsidR="00C04CB0" w:rsidRPr="00C74F0E" w:rsidRDefault="00C04CB0">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17.1%</w:t>
            </w:r>
          </w:p>
        </w:tc>
        <w:tc>
          <w:tcPr>
            <w:tcW w:w="977" w:type="dxa"/>
            <w:tcBorders>
              <w:top w:val="single" w:sz="6" w:space="0" w:color="auto"/>
              <w:left w:val="nil"/>
              <w:bottom w:val="nil"/>
              <w:right w:val="nil"/>
            </w:tcBorders>
          </w:tcPr>
          <w:p w14:paraId="500F6EF5" w14:textId="77777777" w:rsidR="00C04CB0" w:rsidRPr="00C74F0E" w:rsidRDefault="00C04CB0">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17.0%</w:t>
            </w:r>
          </w:p>
        </w:tc>
        <w:tc>
          <w:tcPr>
            <w:tcW w:w="977" w:type="dxa"/>
            <w:tcBorders>
              <w:top w:val="single" w:sz="6" w:space="0" w:color="auto"/>
              <w:left w:val="nil"/>
              <w:bottom w:val="nil"/>
              <w:right w:val="nil"/>
            </w:tcBorders>
          </w:tcPr>
          <w:p w14:paraId="7B208E68" w14:textId="77777777" w:rsidR="00C04CB0" w:rsidRPr="00C74F0E" w:rsidRDefault="00C04CB0">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19.0%</w:t>
            </w:r>
          </w:p>
        </w:tc>
      </w:tr>
      <w:tr w:rsidR="00C04CB0" w14:paraId="131FC516" w14:textId="77777777" w:rsidTr="00C04CB0">
        <w:trPr>
          <w:trHeight w:val="319"/>
        </w:trPr>
        <w:tc>
          <w:tcPr>
            <w:tcW w:w="2491" w:type="dxa"/>
            <w:tcBorders>
              <w:top w:val="nil"/>
              <w:left w:val="nil"/>
              <w:bottom w:val="nil"/>
              <w:right w:val="nil"/>
            </w:tcBorders>
          </w:tcPr>
          <w:p w14:paraId="5ADBAB80" w14:textId="77777777" w:rsidR="00C04CB0" w:rsidRPr="00C04CB0" w:rsidRDefault="00C04CB0">
            <w:pPr>
              <w:autoSpaceDE w:val="0"/>
              <w:autoSpaceDN w:val="0"/>
              <w:adjustRightInd w:val="0"/>
              <w:jc w:val="left"/>
              <w:rPr>
                <w:rFonts w:asciiTheme="minorEastAsia" w:hAnsiTheme="minorEastAsia" w:cs="Calibri"/>
                <w:color w:val="000000"/>
                <w:kern w:val="0"/>
                <w:sz w:val="20"/>
                <w:szCs w:val="20"/>
              </w:rPr>
            </w:pPr>
            <w:r w:rsidRPr="00C04CB0">
              <w:rPr>
                <w:rFonts w:asciiTheme="minorEastAsia" w:hAnsiTheme="minorEastAsia" w:cs="Calibri"/>
                <w:color w:val="000000"/>
                <w:kern w:val="0"/>
                <w:sz w:val="20"/>
                <w:szCs w:val="20"/>
              </w:rPr>
              <w:t>財務レバレッジ</w:t>
            </w:r>
          </w:p>
        </w:tc>
        <w:tc>
          <w:tcPr>
            <w:tcW w:w="977" w:type="dxa"/>
            <w:tcBorders>
              <w:top w:val="nil"/>
              <w:left w:val="nil"/>
              <w:bottom w:val="nil"/>
              <w:right w:val="nil"/>
            </w:tcBorders>
          </w:tcPr>
          <w:p w14:paraId="384F222B" w14:textId="77777777" w:rsidR="00C04CB0" w:rsidRPr="00C74F0E" w:rsidRDefault="00C04CB0">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 xml:space="preserve">6.5 </w:t>
            </w:r>
          </w:p>
        </w:tc>
        <w:tc>
          <w:tcPr>
            <w:tcW w:w="977" w:type="dxa"/>
            <w:tcBorders>
              <w:top w:val="nil"/>
              <w:left w:val="nil"/>
              <w:bottom w:val="nil"/>
              <w:right w:val="nil"/>
            </w:tcBorders>
          </w:tcPr>
          <w:p w14:paraId="4EDEAF33" w14:textId="77777777" w:rsidR="00C04CB0" w:rsidRPr="00C74F0E" w:rsidRDefault="00C04CB0">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 xml:space="preserve">6.3 </w:t>
            </w:r>
          </w:p>
        </w:tc>
        <w:tc>
          <w:tcPr>
            <w:tcW w:w="977" w:type="dxa"/>
            <w:tcBorders>
              <w:top w:val="nil"/>
              <w:left w:val="nil"/>
              <w:bottom w:val="nil"/>
              <w:right w:val="nil"/>
            </w:tcBorders>
          </w:tcPr>
          <w:p w14:paraId="4FF420BA" w14:textId="77777777" w:rsidR="00C04CB0" w:rsidRPr="00C74F0E" w:rsidRDefault="00C04CB0">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 xml:space="preserve">6.9 </w:t>
            </w:r>
          </w:p>
        </w:tc>
        <w:tc>
          <w:tcPr>
            <w:tcW w:w="976" w:type="dxa"/>
            <w:tcBorders>
              <w:top w:val="nil"/>
              <w:left w:val="nil"/>
              <w:bottom w:val="nil"/>
              <w:right w:val="nil"/>
            </w:tcBorders>
          </w:tcPr>
          <w:p w14:paraId="63985A4E" w14:textId="77777777" w:rsidR="00C04CB0" w:rsidRPr="00C74F0E" w:rsidRDefault="00C04CB0">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 xml:space="preserve">5.9 </w:t>
            </w:r>
          </w:p>
        </w:tc>
        <w:tc>
          <w:tcPr>
            <w:tcW w:w="977" w:type="dxa"/>
            <w:tcBorders>
              <w:top w:val="nil"/>
              <w:left w:val="nil"/>
              <w:bottom w:val="nil"/>
              <w:right w:val="nil"/>
            </w:tcBorders>
          </w:tcPr>
          <w:p w14:paraId="66CD6143" w14:textId="77777777" w:rsidR="00C04CB0" w:rsidRPr="00C74F0E" w:rsidRDefault="00C04CB0">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 xml:space="preserve">5.9 </w:t>
            </w:r>
          </w:p>
        </w:tc>
        <w:tc>
          <w:tcPr>
            <w:tcW w:w="977" w:type="dxa"/>
            <w:tcBorders>
              <w:top w:val="nil"/>
              <w:left w:val="nil"/>
              <w:bottom w:val="nil"/>
              <w:right w:val="nil"/>
            </w:tcBorders>
          </w:tcPr>
          <w:p w14:paraId="70193C00" w14:textId="77777777" w:rsidR="00C04CB0" w:rsidRPr="00C74F0E" w:rsidRDefault="00C04CB0">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 xml:space="preserve">5.3 </w:t>
            </w:r>
          </w:p>
        </w:tc>
      </w:tr>
      <w:tr w:rsidR="00C04CB0" w14:paraId="08F0CA56" w14:textId="77777777" w:rsidTr="00C04CB0">
        <w:trPr>
          <w:trHeight w:val="319"/>
        </w:trPr>
        <w:tc>
          <w:tcPr>
            <w:tcW w:w="2491" w:type="dxa"/>
            <w:tcBorders>
              <w:top w:val="nil"/>
              <w:left w:val="nil"/>
              <w:bottom w:val="nil"/>
              <w:right w:val="nil"/>
            </w:tcBorders>
          </w:tcPr>
          <w:p w14:paraId="44D8A4D9" w14:textId="77777777" w:rsidR="00C04CB0" w:rsidRPr="00C04CB0" w:rsidRDefault="00C04CB0">
            <w:pPr>
              <w:autoSpaceDE w:val="0"/>
              <w:autoSpaceDN w:val="0"/>
              <w:adjustRightInd w:val="0"/>
              <w:jc w:val="left"/>
              <w:rPr>
                <w:rFonts w:asciiTheme="minorEastAsia" w:hAnsiTheme="minorEastAsia" w:cs="Calibri"/>
                <w:color w:val="000000"/>
                <w:kern w:val="0"/>
                <w:sz w:val="20"/>
                <w:szCs w:val="20"/>
              </w:rPr>
            </w:pPr>
            <w:r w:rsidRPr="00C04CB0">
              <w:rPr>
                <w:rFonts w:asciiTheme="minorEastAsia" w:hAnsiTheme="minorEastAsia" w:cs="Calibri"/>
                <w:color w:val="000000"/>
                <w:kern w:val="0"/>
                <w:sz w:val="20"/>
                <w:szCs w:val="20"/>
              </w:rPr>
              <w:t>流動比率</w:t>
            </w:r>
          </w:p>
        </w:tc>
        <w:tc>
          <w:tcPr>
            <w:tcW w:w="977" w:type="dxa"/>
            <w:tcBorders>
              <w:top w:val="nil"/>
              <w:left w:val="nil"/>
              <w:bottom w:val="nil"/>
              <w:right w:val="nil"/>
            </w:tcBorders>
          </w:tcPr>
          <w:p w14:paraId="4638FA17" w14:textId="77777777" w:rsidR="00C04CB0" w:rsidRPr="00C74F0E" w:rsidRDefault="00C04CB0">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140.9%</w:t>
            </w:r>
          </w:p>
        </w:tc>
        <w:tc>
          <w:tcPr>
            <w:tcW w:w="977" w:type="dxa"/>
            <w:tcBorders>
              <w:top w:val="nil"/>
              <w:left w:val="nil"/>
              <w:bottom w:val="nil"/>
              <w:right w:val="nil"/>
            </w:tcBorders>
          </w:tcPr>
          <w:p w14:paraId="12DF155B" w14:textId="77777777" w:rsidR="00C04CB0" w:rsidRPr="00C74F0E" w:rsidRDefault="00C04CB0">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130.6%</w:t>
            </w:r>
          </w:p>
        </w:tc>
        <w:tc>
          <w:tcPr>
            <w:tcW w:w="977" w:type="dxa"/>
            <w:tcBorders>
              <w:top w:val="nil"/>
              <w:left w:val="nil"/>
              <w:bottom w:val="nil"/>
              <w:right w:val="nil"/>
            </w:tcBorders>
          </w:tcPr>
          <w:p w14:paraId="13430519" w14:textId="77777777" w:rsidR="00C04CB0" w:rsidRPr="00C74F0E" w:rsidRDefault="00C04CB0">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124.1%</w:t>
            </w:r>
          </w:p>
        </w:tc>
        <w:tc>
          <w:tcPr>
            <w:tcW w:w="976" w:type="dxa"/>
            <w:tcBorders>
              <w:top w:val="nil"/>
              <w:left w:val="nil"/>
              <w:bottom w:val="nil"/>
              <w:right w:val="nil"/>
            </w:tcBorders>
          </w:tcPr>
          <w:p w14:paraId="0D275D09" w14:textId="77777777" w:rsidR="00C04CB0" w:rsidRPr="00C74F0E" w:rsidRDefault="00C04CB0">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150.4%</w:t>
            </w:r>
          </w:p>
        </w:tc>
        <w:tc>
          <w:tcPr>
            <w:tcW w:w="977" w:type="dxa"/>
            <w:tcBorders>
              <w:top w:val="nil"/>
              <w:left w:val="nil"/>
              <w:bottom w:val="nil"/>
              <w:right w:val="nil"/>
            </w:tcBorders>
          </w:tcPr>
          <w:p w14:paraId="3A28EAA7" w14:textId="77777777" w:rsidR="00C04CB0" w:rsidRPr="00C74F0E" w:rsidRDefault="00C04CB0">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148.1%</w:t>
            </w:r>
          </w:p>
        </w:tc>
        <w:tc>
          <w:tcPr>
            <w:tcW w:w="977" w:type="dxa"/>
            <w:tcBorders>
              <w:top w:val="nil"/>
              <w:left w:val="nil"/>
              <w:bottom w:val="nil"/>
              <w:right w:val="nil"/>
            </w:tcBorders>
          </w:tcPr>
          <w:p w14:paraId="4EBECDFA" w14:textId="77777777" w:rsidR="00C04CB0" w:rsidRPr="00C74F0E" w:rsidRDefault="00C04CB0">
            <w:pPr>
              <w:autoSpaceDE w:val="0"/>
              <w:autoSpaceDN w:val="0"/>
              <w:adjustRightInd w:val="0"/>
              <w:jc w:val="right"/>
              <w:rPr>
                <w:rFonts w:ascii="Century" w:hAnsi="Century" w:cs="Arial"/>
                <w:color w:val="000000"/>
                <w:kern w:val="0"/>
                <w:sz w:val="20"/>
                <w:szCs w:val="20"/>
              </w:rPr>
            </w:pPr>
            <w:r w:rsidRPr="00C74F0E">
              <w:rPr>
                <w:rFonts w:ascii="Century" w:hAnsi="Century" w:cs="Arial"/>
                <w:color w:val="000000"/>
                <w:kern w:val="0"/>
                <w:sz w:val="20"/>
                <w:szCs w:val="20"/>
              </w:rPr>
              <w:t>154.7%</w:t>
            </w:r>
          </w:p>
        </w:tc>
      </w:tr>
      <w:tr w:rsidR="00C04CB0" w14:paraId="13EE8DBB" w14:textId="77777777" w:rsidTr="00C04CB0">
        <w:trPr>
          <w:trHeight w:val="319"/>
        </w:trPr>
        <w:tc>
          <w:tcPr>
            <w:tcW w:w="2491" w:type="dxa"/>
            <w:tcBorders>
              <w:top w:val="nil"/>
              <w:left w:val="nil"/>
              <w:bottom w:val="nil"/>
              <w:right w:val="nil"/>
            </w:tcBorders>
          </w:tcPr>
          <w:p w14:paraId="188F08E8" w14:textId="77777777" w:rsidR="00C04CB0" w:rsidRPr="00C04CB0" w:rsidRDefault="00C04CB0">
            <w:pPr>
              <w:autoSpaceDE w:val="0"/>
              <w:autoSpaceDN w:val="0"/>
              <w:adjustRightInd w:val="0"/>
              <w:jc w:val="left"/>
              <w:rPr>
                <w:rFonts w:asciiTheme="minorEastAsia" w:hAnsiTheme="minorEastAsia" w:cs="ＭＳ ゴシック"/>
                <w:color w:val="000000"/>
                <w:kern w:val="0"/>
                <w:sz w:val="20"/>
                <w:szCs w:val="20"/>
              </w:rPr>
            </w:pPr>
            <w:r w:rsidRPr="00C04CB0">
              <w:rPr>
                <w:rFonts w:asciiTheme="minorEastAsia" w:hAnsiTheme="minorEastAsia" w:cs="ＭＳ ゴシック" w:hint="eastAsia"/>
                <w:color w:val="000000"/>
                <w:kern w:val="0"/>
                <w:sz w:val="20"/>
                <w:szCs w:val="20"/>
              </w:rPr>
              <w:t>固定比率</w:t>
            </w:r>
          </w:p>
        </w:tc>
        <w:tc>
          <w:tcPr>
            <w:tcW w:w="977" w:type="dxa"/>
            <w:tcBorders>
              <w:top w:val="nil"/>
              <w:left w:val="nil"/>
              <w:bottom w:val="nil"/>
              <w:right w:val="nil"/>
            </w:tcBorders>
          </w:tcPr>
          <w:p w14:paraId="42556095" w14:textId="77777777" w:rsidR="00C04CB0" w:rsidRPr="00C74F0E" w:rsidRDefault="00C04CB0">
            <w:pPr>
              <w:autoSpaceDE w:val="0"/>
              <w:autoSpaceDN w:val="0"/>
              <w:adjustRightInd w:val="0"/>
              <w:jc w:val="right"/>
              <w:rPr>
                <w:rFonts w:ascii="Century" w:eastAsia="ＭＳ ゴシック" w:hAnsi="Century" w:cs="Arial"/>
                <w:color w:val="000000"/>
                <w:kern w:val="0"/>
                <w:sz w:val="20"/>
                <w:szCs w:val="20"/>
              </w:rPr>
            </w:pPr>
            <w:r w:rsidRPr="00C74F0E">
              <w:rPr>
                <w:rFonts w:ascii="Century" w:eastAsia="ＭＳ ゴシック" w:hAnsi="Century" w:cs="Arial"/>
                <w:color w:val="000000"/>
                <w:kern w:val="0"/>
                <w:sz w:val="20"/>
                <w:szCs w:val="20"/>
              </w:rPr>
              <w:t>242.1%</w:t>
            </w:r>
          </w:p>
        </w:tc>
        <w:tc>
          <w:tcPr>
            <w:tcW w:w="977" w:type="dxa"/>
            <w:tcBorders>
              <w:top w:val="nil"/>
              <w:left w:val="nil"/>
              <w:bottom w:val="nil"/>
              <w:right w:val="nil"/>
            </w:tcBorders>
          </w:tcPr>
          <w:p w14:paraId="606705B9" w14:textId="77777777" w:rsidR="00C04CB0" w:rsidRPr="00C74F0E" w:rsidRDefault="00C04CB0">
            <w:pPr>
              <w:autoSpaceDE w:val="0"/>
              <w:autoSpaceDN w:val="0"/>
              <w:adjustRightInd w:val="0"/>
              <w:jc w:val="right"/>
              <w:rPr>
                <w:rFonts w:ascii="Century" w:eastAsia="ＭＳ ゴシック" w:hAnsi="Century" w:cs="Arial"/>
                <w:color w:val="000000"/>
                <w:kern w:val="0"/>
                <w:sz w:val="20"/>
                <w:szCs w:val="20"/>
              </w:rPr>
            </w:pPr>
            <w:r w:rsidRPr="00C74F0E">
              <w:rPr>
                <w:rFonts w:ascii="Century" w:eastAsia="ＭＳ ゴシック" w:hAnsi="Century" w:cs="Arial"/>
                <w:color w:val="000000"/>
                <w:kern w:val="0"/>
                <w:sz w:val="20"/>
                <w:szCs w:val="20"/>
              </w:rPr>
              <w:t>253.0%</w:t>
            </w:r>
          </w:p>
        </w:tc>
        <w:tc>
          <w:tcPr>
            <w:tcW w:w="977" w:type="dxa"/>
            <w:tcBorders>
              <w:top w:val="nil"/>
              <w:left w:val="nil"/>
              <w:bottom w:val="nil"/>
              <w:right w:val="nil"/>
            </w:tcBorders>
          </w:tcPr>
          <w:p w14:paraId="6B5382FD" w14:textId="77777777" w:rsidR="00C04CB0" w:rsidRPr="00C74F0E" w:rsidRDefault="00C04CB0">
            <w:pPr>
              <w:autoSpaceDE w:val="0"/>
              <w:autoSpaceDN w:val="0"/>
              <w:adjustRightInd w:val="0"/>
              <w:jc w:val="right"/>
              <w:rPr>
                <w:rFonts w:ascii="Century" w:eastAsia="ＭＳ ゴシック" w:hAnsi="Century" w:cs="Arial"/>
                <w:color w:val="000000"/>
                <w:kern w:val="0"/>
                <w:sz w:val="20"/>
                <w:szCs w:val="20"/>
              </w:rPr>
            </w:pPr>
            <w:r w:rsidRPr="00C74F0E">
              <w:rPr>
                <w:rFonts w:ascii="Century" w:eastAsia="ＭＳ ゴシック" w:hAnsi="Century" w:cs="Arial"/>
                <w:color w:val="000000"/>
                <w:kern w:val="0"/>
                <w:sz w:val="20"/>
                <w:szCs w:val="20"/>
              </w:rPr>
              <w:t>283.9%</w:t>
            </w:r>
          </w:p>
        </w:tc>
        <w:tc>
          <w:tcPr>
            <w:tcW w:w="976" w:type="dxa"/>
            <w:tcBorders>
              <w:top w:val="nil"/>
              <w:left w:val="nil"/>
              <w:bottom w:val="nil"/>
              <w:right w:val="nil"/>
            </w:tcBorders>
          </w:tcPr>
          <w:p w14:paraId="7DD51C9E" w14:textId="77777777" w:rsidR="00C04CB0" w:rsidRPr="00C74F0E" w:rsidRDefault="00C04CB0">
            <w:pPr>
              <w:autoSpaceDE w:val="0"/>
              <w:autoSpaceDN w:val="0"/>
              <w:adjustRightInd w:val="0"/>
              <w:jc w:val="right"/>
              <w:rPr>
                <w:rFonts w:ascii="Century" w:eastAsia="ＭＳ ゴシック" w:hAnsi="Century" w:cs="Arial"/>
                <w:color w:val="000000"/>
                <w:kern w:val="0"/>
                <w:sz w:val="20"/>
                <w:szCs w:val="20"/>
              </w:rPr>
            </w:pPr>
            <w:r w:rsidRPr="00C74F0E">
              <w:rPr>
                <w:rFonts w:ascii="Century" w:eastAsia="ＭＳ ゴシック" w:hAnsi="Century" w:cs="Arial"/>
                <w:color w:val="000000"/>
                <w:kern w:val="0"/>
                <w:sz w:val="20"/>
                <w:szCs w:val="20"/>
              </w:rPr>
              <w:t>232.5%</w:t>
            </w:r>
          </w:p>
        </w:tc>
        <w:tc>
          <w:tcPr>
            <w:tcW w:w="977" w:type="dxa"/>
            <w:tcBorders>
              <w:top w:val="nil"/>
              <w:left w:val="nil"/>
              <w:bottom w:val="nil"/>
              <w:right w:val="nil"/>
            </w:tcBorders>
          </w:tcPr>
          <w:p w14:paraId="73B7CB36" w14:textId="77777777" w:rsidR="00C04CB0" w:rsidRPr="00C74F0E" w:rsidRDefault="00C04CB0">
            <w:pPr>
              <w:autoSpaceDE w:val="0"/>
              <w:autoSpaceDN w:val="0"/>
              <w:adjustRightInd w:val="0"/>
              <w:jc w:val="right"/>
              <w:rPr>
                <w:rFonts w:ascii="Century" w:eastAsia="ＭＳ ゴシック" w:hAnsi="Century" w:cs="Arial"/>
                <w:color w:val="000000"/>
                <w:kern w:val="0"/>
                <w:sz w:val="20"/>
                <w:szCs w:val="20"/>
              </w:rPr>
            </w:pPr>
            <w:r w:rsidRPr="00C74F0E">
              <w:rPr>
                <w:rFonts w:ascii="Century" w:eastAsia="ＭＳ ゴシック" w:hAnsi="Century" w:cs="Arial"/>
                <w:color w:val="000000"/>
                <w:kern w:val="0"/>
                <w:sz w:val="20"/>
                <w:szCs w:val="20"/>
              </w:rPr>
              <w:t>259.8%</w:t>
            </w:r>
          </w:p>
        </w:tc>
        <w:tc>
          <w:tcPr>
            <w:tcW w:w="977" w:type="dxa"/>
            <w:tcBorders>
              <w:top w:val="nil"/>
              <w:left w:val="nil"/>
              <w:bottom w:val="nil"/>
              <w:right w:val="nil"/>
            </w:tcBorders>
          </w:tcPr>
          <w:p w14:paraId="6CFBD385" w14:textId="77777777" w:rsidR="00C04CB0" w:rsidRPr="00C74F0E" w:rsidRDefault="00C04CB0">
            <w:pPr>
              <w:autoSpaceDE w:val="0"/>
              <w:autoSpaceDN w:val="0"/>
              <w:adjustRightInd w:val="0"/>
              <w:jc w:val="right"/>
              <w:rPr>
                <w:rFonts w:ascii="Century" w:eastAsia="ＭＳ ゴシック" w:hAnsi="Century" w:cs="Arial"/>
                <w:color w:val="000000"/>
                <w:kern w:val="0"/>
                <w:sz w:val="20"/>
                <w:szCs w:val="20"/>
              </w:rPr>
            </w:pPr>
            <w:r w:rsidRPr="00C74F0E">
              <w:rPr>
                <w:rFonts w:ascii="Century" w:eastAsia="ＭＳ ゴシック" w:hAnsi="Century" w:cs="Arial"/>
                <w:color w:val="000000"/>
                <w:kern w:val="0"/>
                <w:sz w:val="20"/>
                <w:szCs w:val="20"/>
              </w:rPr>
              <w:t>301.8%</w:t>
            </w:r>
          </w:p>
        </w:tc>
      </w:tr>
      <w:tr w:rsidR="00C04CB0" w14:paraId="476F2E63" w14:textId="77777777" w:rsidTr="00C04CB0">
        <w:trPr>
          <w:trHeight w:val="319"/>
        </w:trPr>
        <w:tc>
          <w:tcPr>
            <w:tcW w:w="2491" w:type="dxa"/>
            <w:tcBorders>
              <w:top w:val="nil"/>
              <w:left w:val="nil"/>
              <w:bottom w:val="nil"/>
              <w:right w:val="nil"/>
            </w:tcBorders>
          </w:tcPr>
          <w:p w14:paraId="41BFEE83" w14:textId="77777777" w:rsidR="00C04CB0" w:rsidRPr="00C04CB0" w:rsidRDefault="00C04CB0">
            <w:pPr>
              <w:autoSpaceDE w:val="0"/>
              <w:autoSpaceDN w:val="0"/>
              <w:adjustRightInd w:val="0"/>
              <w:jc w:val="left"/>
              <w:rPr>
                <w:rFonts w:asciiTheme="minorEastAsia" w:hAnsiTheme="minorEastAsia" w:cs="Calibri"/>
                <w:color w:val="000000"/>
                <w:kern w:val="0"/>
                <w:sz w:val="20"/>
                <w:szCs w:val="20"/>
              </w:rPr>
            </w:pPr>
            <w:r w:rsidRPr="00C04CB0">
              <w:rPr>
                <w:rFonts w:asciiTheme="minorEastAsia" w:hAnsiTheme="minorEastAsia" w:cs="Calibri"/>
                <w:color w:val="000000"/>
                <w:kern w:val="0"/>
                <w:sz w:val="20"/>
                <w:szCs w:val="20"/>
              </w:rPr>
              <w:t>固定長期適合率</w:t>
            </w:r>
          </w:p>
        </w:tc>
        <w:tc>
          <w:tcPr>
            <w:tcW w:w="977" w:type="dxa"/>
            <w:tcBorders>
              <w:top w:val="nil"/>
              <w:left w:val="nil"/>
              <w:bottom w:val="nil"/>
              <w:right w:val="nil"/>
            </w:tcBorders>
          </w:tcPr>
          <w:p w14:paraId="7B2DFE8A" w14:textId="77777777" w:rsidR="00C04CB0" w:rsidRPr="00C74F0E" w:rsidRDefault="00C04CB0">
            <w:pPr>
              <w:autoSpaceDE w:val="0"/>
              <w:autoSpaceDN w:val="0"/>
              <w:adjustRightInd w:val="0"/>
              <w:jc w:val="right"/>
              <w:rPr>
                <w:rFonts w:ascii="Century" w:eastAsia="ＭＳ ゴシック" w:hAnsi="Century" w:cs="Arial"/>
                <w:color w:val="000000"/>
                <w:kern w:val="0"/>
                <w:sz w:val="20"/>
                <w:szCs w:val="20"/>
              </w:rPr>
            </w:pPr>
            <w:r w:rsidRPr="00C74F0E">
              <w:rPr>
                <w:rFonts w:ascii="Century" w:eastAsia="ＭＳ ゴシック" w:hAnsi="Century" w:cs="Arial"/>
                <w:color w:val="000000"/>
                <w:kern w:val="0"/>
                <w:sz w:val="20"/>
                <w:szCs w:val="20"/>
              </w:rPr>
              <w:t>73.9%</w:t>
            </w:r>
          </w:p>
        </w:tc>
        <w:tc>
          <w:tcPr>
            <w:tcW w:w="977" w:type="dxa"/>
            <w:tcBorders>
              <w:top w:val="nil"/>
              <w:left w:val="nil"/>
              <w:bottom w:val="nil"/>
              <w:right w:val="nil"/>
            </w:tcBorders>
          </w:tcPr>
          <w:p w14:paraId="2E8AE401" w14:textId="77777777" w:rsidR="00C04CB0" w:rsidRPr="00C74F0E" w:rsidRDefault="00C04CB0">
            <w:pPr>
              <w:autoSpaceDE w:val="0"/>
              <w:autoSpaceDN w:val="0"/>
              <w:adjustRightInd w:val="0"/>
              <w:jc w:val="right"/>
              <w:rPr>
                <w:rFonts w:ascii="Century" w:eastAsia="ＭＳ ゴシック" w:hAnsi="Century" w:cs="Arial"/>
                <w:color w:val="000000"/>
                <w:kern w:val="0"/>
                <w:sz w:val="20"/>
                <w:szCs w:val="20"/>
              </w:rPr>
            </w:pPr>
            <w:r w:rsidRPr="00C74F0E">
              <w:rPr>
                <w:rFonts w:ascii="Century" w:eastAsia="ＭＳ ゴシック" w:hAnsi="Century" w:cs="Arial"/>
                <w:color w:val="000000"/>
                <w:kern w:val="0"/>
                <w:sz w:val="20"/>
                <w:szCs w:val="20"/>
              </w:rPr>
              <w:t>80.7%</w:t>
            </w:r>
          </w:p>
        </w:tc>
        <w:tc>
          <w:tcPr>
            <w:tcW w:w="977" w:type="dxa"/>
            <w:tcBorders>
              <w:top w:val="nil"/>
              <w:left w:val="nil"/>
              <w:bottom w:val="nil"/>
              <w:right w:val="nil"/>
            </w:tcBorders>
          </w:tcPr>
          <w:p w14:paraId="2159B52F" w14:textId="77777777" w:rsidR="00C04CB0" w:rsidRPr="00C74F0E" w:rsidRDefault="00C04CB0">
            <w:pPr>
              <w:autoSpaceDE w:val="0"/>
              <w:autoSpaceDN w:val="0"/>
              <w:adjustRightInd w:val="0"/>
              <w:jc w:val="right"/>
              <w:rPr>
                <w:rFonts w:ascii="Century" w:eastAsia="ＭＳ ゴシック" w:hAnsi="Century" w:cs="Arial"/>
                <w:color w:val="000000"/>
                <w:kern w:val="0"/>
                <w:sz w:val="20"/>
                <w:szCs w:val="20"/>
              </w:rPr>
            </w:pPr>
            <w:r w:rsidRPr="00C74F0E">
              <w:rPr>
                <w:rFonts w:ascii="Century" w:eastAsia="ＭＳ ゴシック" w:hAnsi="Century" w:cs="Arial"/>
                <w:color w:val="000000"/>
                <w:kern w:val="0"/>
                <w:sz w:val="20"/>
                <w:szCs w:val="20"/>
              </w:rPr>
              <w:t>85.5%</w:t>
            </w:r>
          </w:p>
        </w:tc>
        <w:tc>
          <w:tcPr>
            <w:tcW w:w="976" w:type="dxa"/>
            <w:tcBorders>
              <w:top w:val="nil"/>
              <w:left w:val="nil"/>
              <w:bottom w:val="nil"/>
              <w:right w:val="nil"/>
            </w:tcBorders>
          </w:tcPr>
          <w:p w14:paraId="0988961B" w14:textId="77777777" w:rsidR="00C04CB0" w:rsidRPr="00C74F0E" w:rsidRDefault="00C04CB0">
            <w:pPr>
              <w:autoSpaceDE w:val="0"/>
              <w:autoSpaceDN w:val="0"/>
              <w:adjustRightInd w:val="0"/>
              <w:jc w:val="right"/>
              <w:rPr>
                <w:rFonts w:ascii="Century" w:eastAsia="ＭＳ ゴシック" w:hAnsi="Century" w:cs="Arial"/>
                <w:color w:val="000000"/>
                <w:kern w:val="0"/>
                <w:sz w:val="20"/>
                <w:szCs w:val="20"/>
              </w:rPr>
            </w:pPr>
            <w:r w:rsidRPr="00C74F0E">
              <w:rPr>
                <w:rFonts w:ascii="Century" w:eastAsia="ＭＳ ゴシック" w:hAnsi="Century" w:cs="Arial"/>
                <w:color w:val="000000"/>
                <w:kern w:val="0"/>
                <w:sz w:val="20"/>
                <w:szCs w:val="20"/>
              </w:rPr>
              <w:t>71.5%</w:t>
            </w:r>
          </w:p>
        </w:tc>
        <w:tc>
          <w:tcPr>
            <w:tcW w:w="977" w:type="dxa"/>
            <w:tcBorders>
              <w:top w:val="nil"/>
              <w:left w:val="nil"/>
              <w:bottom w:val="nil"/>
              <w:right w:val="nil"/>
            </w:tcBorders>
          </w:tcPr>
          <w:p w14:paraId="57F34EF7" w14:textId="77777777" w:rsidR="00C04CB0" w:rsidRPr="00C74F0E" w:rsidRDefault="00C04CB0">
            <w:pPr>
              <w:autoSpaceDE w:val="0"/>
              <w:autoSpaceDN w:val="0"/>
              <w:adjustRightInd w:val="0"/>
              <w:jc w:val="right"/>
              <w:rPr>
                <w:rFonts w:ascii="Century" w:eastAsia="ＭＳ ゴシック" w:hAnsi="Century" w:cs="Arial"/>
                <w:color w:val="000000"/>
                <w:kern w:val="0"/>
                <w:sz w:val="20"/>
                <w:szCs w:val="20"/>
              </w:rPr>
            </w:pPr>
            <w:r w:rsidRPr="00C74F0E">
              <w:rPr>
                <w:rFonts w:ascii="Century" w:eastAsia="ＭＳ ゴシック" w:hAnsi="Century" w:cs="Arial"/>
                <w:color w:val="000000"/>
                <w:kern w:val="0"/>
                <w:sz w:val="20"/>
                <w:szCs w:val="20"/>
              </w:rPr>
              <w:t>76.9%</w:t>
            </w:r>
          </w:p>
        </w:tc>
        <w:tc>
          <w:tcPr>
            <w:tcW w:w="977" w:type="dxa"/>
            <w:tcBorders>
              <w:top w:val="nil"/>
              <w:left w:val="nil"/>
              <w:bottom w:val="nil"/>
              <w:right w:val="nil"/>
            </w:tcBorders>
          </w:tcPr>
          <w:p w14:paraId="2C294CAC" w14:textId="77777777" w:rsidR="00C04CB0" w:rsidRPr="00C74F0E" w:rsidRDefault="00C04CB0">
            <w:pPr>
              <w:autoSpaceDE w:val="0"/>
              <w:autoSpaceDN w:val="0"/>
              <w:adjustRightInd w:val="0"/>
              <w:jc w:val="right"/>
              <w:rPr>
                <w:rFonts w:ascii="Century" w:eastAsia="ＭＳ ゴシック" w:hAnsi="Century" w:cs="Arial"/>
                <w:color w:val="000000"/>
                <w:kern w:val="0"/>
                <w:sz w:val="20"/>
                <w:szCs w:val="20"/>
              </w:rPr>
            </w:pPr>
            <w:r w:rsidRPr="00C74F0E">
              <w:rPr>
                <w:rFonts w:ascii="Century" w:eastAsia="ＭＳ ゴシック" w:hAnsi="Century" w:cs="Arial"/>
                <w:color w:val="000000"/>
                <w:kern w:val="0"/>
                <w:sz w:val="20"/>
                <w:szCs w:val="20"/>
              </w:rPr>
              <w:t>85.2%</w:t>
            </w:r>
          </w:p>
        </w:tc>
      </w:tr>
      <w:tr w:rsidR="00C04CB0" w14:paraId="0841C63B" w14:textId="77777777" w:rsidTr="00C04CB0">
        <w:trPr>
          <w:trHeight w:val="319"/>
        </w:trPr>
        <w:tc>
          <w:tcPr>
            <w:tcW w:w="2491" w:type="dxa"/>
            <w:tcBorders>
              <w:top w:val="nil"/>
              <w:left w:val="nil"/>
              <w:bottom w:val="single" w:sz="6" w:space="0" w:color="auto"/>
              <w:right w:val="nil"/>
            </w:tcBorders>
          </w:tcPr>
          <w:p w14:paraId="0F5365E2" w14:textId="77777777" w:rsidR="00C04CB0" w:rsidRPr="00C04CB0" w:rsidRDefault="00C04CB0">
            <w:pPr>
              <w:autoSpaceDE w:val="0"/>
              <w:autoSpaceDN w:val="0"/>
              <w:adjustRightInd w:val="0"/>
              <w:jc w:val="left"/>
              <w:rPr>
                <w:rFonts w:asciiTheme="minorEastAsia" w:hAnsiTheme="minorEastAsia" w:cs="ＭＳ ゴシック"/>
                <w:color w:val="000000"/>
                <w:kern w:val="0"/>
                <w:sz w:val="20"/>
                <w:szCs w:val="20"/>
              </w:rPr>
            </w:pPr>
            <w:r w:rsidRPr="00C04CB0">
              <w:rPr>
                <w:rFonts w:asciiTheme="minorEastAsia" w:hAnsiTheme="minorEastAsia" w:cs="ＭＳ ゴシック" w:hint="eastAsia"/>
                <w:color w:val="000000"/>
                <w:kern w:val="0"/>
                <w:sz w:val="20"/>
                <w:szCs w:val="20"/>
              </w:rPr>
              <w:t>ネット</w:t>
            </w:r>
            <w:r w:rsidRPr="00C04CB0">
              <w:rPr>
                <w:rFonts w:asciiTheme="minorEastAsia" w:hAnsiTheme="minorEastAsia" w:cs="Calibri"/>
                <w:color w:val="000000"/>
                <w:kern w:val="0"/>
                <w:sz w:val="20"/>
                <w:szCs w:val="20"/>
              </w:rPr>
              <w:t>D/E</w:t>
            </w:r>
            <w:r w:rsidRPr="00C04CB0">
              <w:rPr>
                <w:rFonts w:asciiTheme="minorEastAsia" w:hAnsiTheme="minorEastAsia" w:cs="ＭＳ ゴシック" w:hint="eastAsia"/>
                <w:color w:val="000000"/>
                <w:kern w:val="0"/>
                <w:sz w:val="20"/>
                <w:szCs w:val="20"/>
              </w:rPr>
              <w:t>レシオ</w:t>
            </w:r>
          </w:p>
        </w:tc>
        <w:tc>
          <w:tcPr>
            <w:tcW w:w="977" w:type="dxa"/>
            <w:tcBorders>
              <w:top w:val="nil"/>
              <w:left w:val="nil"/>
              <w:bottom w:val="single" w:sz="6" w:space="0" w:color="auto"/>
              <w:right w:val="nil"/>
            </w:tcBorders>
          </w:tcPr>
          <w:p w14:paraId="0D784162" w14:textId="77777777" w:rsidR="00C04CB0" w:rsidRPr="00C74F0E" w:rsidRDefault="00C04CB0">
            <w:pPr>
              <w:autoSpaceDE w:val="0"/>
              <w:autoSpaceDN w:val="0"/>
              <w:adjustRightInd w:val="0"/>
              <w:jc w:val="right"/>
              <w:rPr>
                <w:rFonts w:ascii="Century" w:eastAsia="ＭＳ ゴシック" w:hAnsi="Century" w:cs="Arial"/>
                <w:color w:val="000000"/>
                <w:kern w:val="0"/>
                <w:sz w:val="20"/>
                <w:szCs w:val="20"/>
              </w:rPr>
            </w:pPr>
            <w:r w:rsidRPr="00C74F0E">
              <w:rPr>
                <w:rFonts w:ascii="Century" w:eastAsia="ＭＳ ゴシック" w:hAnsi="Century" w:cs="Arial"/>
                <w:color w:val="000000"/>
                <w:kern w:val="0"/>
                <w:sz w:val="20"/>
                <w:szCs w:val="20"/>
              </w:rPr>
              <w:t>7.4%</w:t>
            </w:r>
          </w:p>
        </w:tc>
        <w:tc>
          <w:tcPr>
            <w:tcW w:w="977" w:type="dxa"/>
            <w:tcBorders>
              <w:top w:val="nil"/>
              <w:left w:val="nil"/>
              <w:bottom w:val="single" w:sz="6" w:space="0" w:color="auto"/>
              <w:right w:val="nil"/>
            </w:tcBorders>
          </w:tcPr>
          <w:p w14:paraId="5970FB81" w14:textId="77777777" w:rsidR="00C04CB0" w:rsidRPr="00C74F0E" w:rsidRDefault="00C04CB0">
            <w:pPr>
              <w:autoSpaceDE w:val="0"/>
              <w:autoSpaceDN w:val="0"/>
              <w:adjustRightInd w:val="0"/>
              <w:jc w:val="right"/>
              <w:rPr>
                <w:rFonts w:ascii="Century" w:eastAsia="ＭＳ ゴシック" w:hAnsi="Century" w:cs="Arial"/>
                <w:color w:val="000000"/>
                <w:kern w:val="0"/>
                <w:sz w:val="20"/>
                <w:szCs w:val="20"/>
              </w:rPr>
            </w:pPr>
            <w:r w:rsidRPr="00C74F0E">
              <w:rPr>
                <w:rFonts w:ascii="Century" w:eastAsia="ＭＳ ゴシック" w:hAnsi="Century" w:cs="Arial"/>
                <w:color w:val="000000"/>
                <w:kern w:val="0"/>
                <w:sz w:val="20"/>
                <w:szCs w:val="20"/>
              </w:rPr>
              <w:t>4.7%</w:t>
            </w:r>
          </w:p>
        </w:tc>
        <w:tc>
          <w:tcPr>
            <w:tcW w:w="977" w:type="dxa"/>
            <w:tcBorders>
              <w:top w:val="nil"/>
              <w:left w:val="nil"/>
              <w:bottom w:val="single" w:sz="6" w:space="0" w:color="auto"/>
              <w:right w:val="nil"/>
            </w:tcBorders>
          </w:tcPr>
          <w:p w14:paraId="5E6D78D3" w14:textId="77777777" w:rsidR="00C04CB0" w:rsidRPr="00C74F0E" w:rsidRDefault="00C04CB0">
            <w:pPr>
              <w:autoSpaceDE w:val="0"/>
              <w:autoSpaceDN w:val="0"/>
              <w:adjustRightInd w:val="0"/>
              <w:jc w:val="right"/>
              <w:rPr>
                <w:rFonts w:ascii="Century" w:eastAsia="ＭＳ ゴシック" w:hAnsi="Century" w:cs="Arial"/>
                <w:color w:val="000000"/>
                <w:kern w:val="0"/>
                <w:sz w:val="20"/>
                <w:szCs w:val="20"/>
              </w:rPr>
            </w:pPr>
            <w:r w:rsidRPr="00C74F0E">
              <w:rPr>
                <w:rFonts w:ascii="Century" w:eastAsia="ＭＳ ゴシック" w:hAnsi="Century" w:cs="Arial"/>
                <w:color w:val="000000"/>
                <w:kern w:val="0"/>
                <w:sz w:val="20"/>
                <w:szCs w:val="20"/>
              </w:rPr>
              <w:t>18.4%</w:t>
            </w:r>
          </w:p>
        </w:tc>
        <w:tc>
          <w:tcPr>
            <w:tcW w:w="976" w:type="dxa"/>
            <w:tcBorders>
              <w:top w:val="nil"/>
              <w:left w:val="nil"/>
              <w:bottom w:val="single" w:sz="6" w:space="0" w:color="auto"/>
              <w:right w:val="nil"/>
            </w:tcBorders>
          </w:tcPr>
          <w:p w14:paraId="28C12540" w14:textId="77777777" w:rsidR="00C04CB0" w:rsidRPr="00C74F0E" w:rsidRDefault="00C04CB0">
            <w:pPr>
              <w:autoSpaceDE w:val="0"/>
              <w:autoSpaceDN w:val="0"/>
              <w:adjustRightInd w:val="0"/>
              <w:jc w:val="right"/>
              <w:rPr>
                <w:rFonts w:ascii="Century" w:eastAsia="ＭＳ ゴシック" w:hAnsi="Century" w:cs="Arial"/>
                <w:color w:val="000000"/>
                <w:kern w:val="0"/>
                <w:sz w:val="20"/>
                <w:szCs w:val="20"/>
              </w:rPr>
            </w:pPr>
            <w:r w:rsidRPr="00C74F0E">
              <w:rPr>
                <w:rFonts w:ascii="Century" w:eastAsia="ＭＳ ゴシック" w:hAnsi="Century" w:cs="Arial"/>
                <w:color w:val="000000"/>
                <w:kern w:val="0"/>
                <w:sz w:val="20"/>
                <w:szCs w:val="20"/>
              </w:rPr>
              <w:t>30.8%</w:t>
            </w:r>
          </w:p>
        </w:tc>
        <w:tc>
          <w:tcPr>
            <w:tcW w:w="977" w:type="dxa"/>
            <w:tcBorders>
              <w:top w:val="nil"/>
              <w:left w:val="nil"/>
              <w:bottom w:val="single" w:sz="6" w:space="0" w:color="auto"/>
              <w:right w:val="nil"/>
            </w:tcBorders>
          </w:tcPr>
          <w:p w14:paraId="14BEBFA0" w14:textId="77777777" w:rsidR="00C04CB0" w:rsidRPr="00C74F0E" w:rsidRDefault="00C04CB0">
            <w:pPr>
              <w:autoSpaceDE w:val="0"/>
              <w:autoSpaceDN w:val="0"/>
              <w:adjustRightInd w:val="0"/>
              <w:jc w:val="right"/>
              <w:rPr>
                <w:rFonts w:ascii="Century" w:eastAsia="ＭＳ ゴシック" w:hAnsi="Century" w:cs="Arial"/>
                <w:color w:val="000000"/>
                <w:kern w:val="0"/>
                <w:sz w:val="20"/>
                <w:szCs w:val="20"/>
              </w:rPr>
            </w:pPr>
            <w:r w:rsidRPr="00C74F0E">
              <w:rPr>
                <w:rFonts w:ascii="Century" w:eastAsia="ＭＳ ゴシック" w:hAnsi="Century" w:cs="Arial"/>
                <w:color w:val="000000"/>
                <w:kern w:val="0"/>
                <w:sz w:val="20"/>
                <w:szCs w:val="20"/>
              </w:rPr>
              <w:t>56.0%</w:t>
            </w:r>
          </w:p>
        </w:tc>
        <w:tc>
          <w:tcPr>
            <w:tcW w:w="977" w:type="dxa"/>
            <w:tcBorders>
              <w:top w:val="nil"/>
              <w:left w:val="nil"/>
              <w:bottom w:val="single" w:sz="6" w:space="0" w:color="auto"/>
              <w:right w:val="nil"/>
            </w:tcBorders>
          </w:tcPr>
          <w:p w14:paraId="74CA1984" w14:textId="77777777" w:rsidR="00C04CB0" w:rsidRPr="00C74F0E" w:rsidRDefault="00C04CB0">
            <w:pPr>
              <w:autoSpaceDE w:val="0"/>
              <w:autoSpaceDN w:val="0"/>
              <w:adjustRightInd w:val="0"/>
              <w:jc w:val="right"/>
              <w:rPr>
                <w:rFonts w:ascii="Century" w:eastAsia="ＭＳ ゴシック" w:hAnsi="Century" w:cs="Arial"/>
                <w:color w:val="000000"/>
                <w:kern w:val="0"/>
                <w:sz w:val="20"/>
                <w:szCs w:val="20"/>
              </w:rPr>
            </w:pPr>
            <w:r w:rsidRPr="00C74F0E">
              <w:rPr>
                <w:rFonts w:ascii="Century" w:eastAsia="ＭＳ ゴシック" w:hAnsi="Century" w:cs="Arial"/>
                <w:color w:val="000000"/>
                <w:kern w:val="0"/>
                <w:sz w:val="20"/>
                <w:szCs w:val="20"/>
              </w:rPr>
              <w:t>132.8%</w:t>
            </w:r>
          </w:p>
        </w:tc>
      </w:tr>
    </w:tbl>
    <w:p w14:paraId="641BFDC3" w14:textId="1E9BF1F9" w:rsidR="00601AA9" w:rsidRDefault="00601AA9" w:rsidP="008D3845">
      <w:r>
        <w:rPr>
          <w:rFonts w:hint="eastAsia"/>
        </w:rPr>
        <w:t>出典：</w:t>
      </w:r>
      <w:r w:rsidRPr="00DD0703">
        <w:rPr>
          <w:rFonts w:hint="eastAsia"/>
        </w:rPr>
        <w:t>エイチ・アイ・エス</w:t>
      </w:r>
      <w:r>
        <w:rPr>
          <w:rFonts w:hint="eastAsia"/>
        </w:rPr>
        <w:t>社「四半期報告書」より筆者作成。</w:t>
      </w:r>
    </w:p>
    <w:p w14:paraId="4011A60C" w14:textId="77777777" w:rsidR="00601AA9" w:rsidRDefault="00601AA9" w:rsidP="008D3845"/>
    <w:p w14:paraId="5AAC43B8" w14:textId="0427CEA3" w:rsidR="00D22C9E" w:rsidRDefault="00D22C9E" w:rsidP="008D3845">
      <w:r>
        <w:rPr>
          <w:b/>
          <w:bCs/>
        </w:rPr>
        <w:t>3</w:t>
      </w:r>
      <w:r w:rsidRPr="009E0ABF">
        <w:rPr>
          <w:rFonts w:hint="eastAsia"/>
          <w:b/>
          <w:bCs/>
        </w:rPr>
        <w:t>－</w:t>
      </w:r>
      <w:r>
        <w:rPr>
          <w:b/>
          <w:bCs/>
        </w:rPr>
        <w:t>1</w:t>
      </w:r>
      <w:r>
        <w:rPr>
          <w:rFonts w:hint="eastAsia"/>
          <w:b/>
          <w:bCs/>
        </w:rPr>
        <w:t>－</w:t>
      </w:r>
      <w:r w:rsidR="00AF3BD8">
        <w:rPr>
          <w:rFonts w:hint="eastAsia"/>
          <w:b/>
          <w:bCs/>
        </w:rPr>
        <w:t>2</w:t>
      </w:r>
      <w:r>
        <w:rPr>
          <w:rFonts w:hint="eastAsia"/>
          <w:b/>
          <w:bCs/>
        </w:rPr>
        <w:t>．小括</w:t>
      </w:r>
    </w:p>
    <w:p w14:paraId="6FCDBBF4" w14:textId="7585ED9B" w:rsidR="00D22C9E" w:rsidRPr="0005355D" w:rsidRDefault="00D22C9E" w:rsidP="003A6F98">
      <w:pPr>
        <w:ind w:firstLineChars="100" w:firstLine="210"/>
      </w:pPr>
      <w:r>
        <w:rPr>
          <w:rFonts w:hint="eastAsia"/>
        </w:rPr>
        <w:t>本節では、H</w:t>
      </w:r>
      <w:r>
        <w:t>IS</w:t>
      </w:r>
      <w:r>
        <w:rPr>
          <w:rFonts w:hint="eastAsia"/>
        </w:rPr>
        <w:t>社の財務分析を行ってきたが、O</w:t>
      </w:r>
      <w:r>
        <w:t>LC</w:t>
      </w:r>
      <w:r>
        <w:rPr>
          <w:rFonts w:hint="eastAsia"/>
        </w:rPr>
        <w:t>と比較して、業績の変動は小さいように思える。例えば、売上高の指標をみても、O</w:t>
      </w:r>
      <w:r>
        <w:t>LC</w:t>
      </w:r>
      <w:r>
        <w:rPr>
          <w:rFonts w:hint="eastAsia"/>
        </w:rPr>
        <w:t>の売上高は9</w:t>
      </w:r>
      <w:r>
        <w:t>5%</w:t>
      </w:r>
      <w:r>
        <w:rPr>
          <w:rFonts w:hint="eastAsia"/>
        </w:rPr>
        <w:t>減少に対して、H</w:t>
      </w:r>
      <w:r>
        <w:t>IS</w:t>
      </w:r>
      <w:r>
        <w:rPr>
          <w:rFonts w:hint="eastAsia"/>
        </w:rPr>
        <w:t>社は2</w:t>
      </w:r>
      <w:r>
        <w:t>4%</w:t>
      </w:r>
      <w:r>
        <w:rPr>
          <w:rFonts w:hint="eastAsia"/>
        </w:rPr>
        <w:t>減少であ</w:t>
      </w:r>
      <w:r w:rsidR="003A6F98">
        <w:rPr>
          <w:rFonts w:hint="eastAsia"/>
        </w:rPr>
        <w:t>る。</w:t>
      </w:r>
      <w:r w:rsidR="001F1C7F">
        <w:rPr>
          <w:rFonts w:hint="eastAsia"/>
        </w:rPr>
        <w:t>この理由として、</w:t>
      </w:r>
      <w:r w:rsidR="003A6F98">
        <w:rPr>
          <w:rFonts w:hint="eastAsia"/>
        </w:rPr>
        <w:t>H</w:t>
      </w:r>
      <w:r w:rsidR="003A6F98">
        <w:t>IS</w:t>
      </w:r>
      <w:r w:rsidR="003A6F98">
        <w:rPr>
          <w:rFonts w:hint="eastAsia"/>
        </w:rPr>
        <w:t>社は</w:t>
      </w:r>
      <w:r w:rsidR="00C06F79">
        <w:rPr>
          <w:rFonts w:hint="eastAsia"/>
        </w:rPr>
        <w:t>ハウステンボスグループ</w:t>
      </w:r>
      <w:r w:rsidR="003A6F98">
        <w:rPr>
          <w:rFonts w:hint="eastAsia"/>
        </w:rPr>
        <w:t>以外の旅行事業を主力事業</w:t>
      </w:r>
      <w:r w:rsidR="003708E8">
        <w:rPr>
          <w:rFonts w:hint="eastAsia"/>
        </w:rPr>
        <w:t>と</w:t>
      </w:r>
      <w:r w:rsidR="003A6F98">
        <w:rPr>
          <w:rFonts w:hint="eastAsia"/>
        </w:rPr>
        <w:t>して</w:t>
      </w:r>
      <w:r w:rsidR="001F1C7F">
        <w:rPr>
          <w:rFonts w:hint="eastAsia"/>
        </w:rPr>
        <w:t>おり</w:t>
      </w:r>
      <w:r w:rsidR="00C06F79">
        <w:rPr>
          <w:rFonts w:hint="eastAsia"/>
        </w:rPr>
        <w:t>ハウステンボス</w:t>
      </w:r>
      <w:r w:rsidR="003A6F98">
        <w:rPr>
          <w:rFonts w:hint="eastAsia"/>
        </w:rPr>
        <w:t>を休園したとしても、他の事業で</w:t>
      </w:r>
      <w:r w:rsidR="003708E8">
        <w:rPr>
          <w:rFonts w:hint="eastAsia"/>
        </w:rPr>
        <w:t>補填することができる。ただし、H</w:t>
      </w:r>
      <w:r w:rsidR="003708E8">
        <w:t>IS</w:t>
      </w:r>
      <w:r w:rsidR="003708E8">
        <w:rPr>
          <w:rFonts w:hint="eastAsia"/>
        </w:rPr>
        <w:t>社の財務体質はO</w:t>
      </w:r>
      <w:r w:rsidR="003708E8">
        <w:t>LC</w:t>
      </w:r>
      <w:r w:rsidR="003708E8">
        <w:rPr>
          <w:rFonts w:hint="eastAsia"/>
        </w:rPr>
        <w:t>と対照的に、収益性が低く薄利多売の経営を行っている状態であり、財務安全性の指標にも懸念がある。現況では、</w:t>
      </w:r>
      <w:r>
        <w:rPr>
          <w:rFonts w:hint="eastAsia"/>
        </w:rPr>
        <w:t>財務的には幾分余力はあるものの、流動資産の中でも当座資金が急激な減少傾向にあり、</w:t>
      </w:r>
      <w:r w:rsidR="003708E8">
        <w:rPr>
          <w:rFonts w:hint="eastAsia"/>
        </w:rPr>
        <w:t>今後は</w:t>
      </w:r>
      <w:r>
        <w:rPr>
          <w:rFonts w:hint="eastAsia"/>
        </w:rPr>
        <w:t>キャッシュインフローをいかに改善</w:t>
      </w:r>
      <w:r w:rsidR="00C06F79">
        <w:rPr>
          <w:rFonts w:hint="eastAsia"/>
        </w:rPr>
        <w:t>させるかが財務上の課題である</w:t>
      </w:r>
      <w:r w:rsidR="003708E8">
        <w:rPr>
          <w:rFonts w:hint="eastAsia"/>
        </w:rPr>
        <w:t>といえる</w:t>
      </w:r>
      <w:r w:rsidR="00C06F79">
        <w:rPr>
          <w:rFonts w:hint="eastAsia"/>
        </w:rPr>
        <w:t>。</w:t>
      </w:r>
    </w:p>
    <w:p w14:paraId="770F0569" w14:textId="77777777" w:rsidR="009E0ABF" w:rsidRPr="0005355D" w:rsidRDefault="009E0ABF" w:rsidP="008D3845"/>
    <w:p w14:paraId="39D2A0E4" w14:textId="2113379B" w:rsidR="0005355D" w:rsidRDefault="002573EA" w:rsidP="0005355D">
      <w:pPr>
        <w:rPr>
          <w:b/>
          <w:bCs/>
        </w:rPr>
      </w:pPr>
      <w:r>
        <w:rPr>
          <w:b/>
          <w:bCs/>
        </w:rPr>
        <w:t>3</w:t>
      </w:r>
      <w:r w:rsidR="0005355D" w:rsidRPr="009E0ABF">
        <w:rPr>
          <w:rFonts w:hint="eastAsia"/>
          <w:b/>
          <w:bCs/>
        </w:rPr>
        <w:t>－</w:t>
      </w:r>
      <w:r w:rsidR="00C51AE1">
        <w:rPr>
          <w:b/>
          <w:bCs/>
        </w:rPr>
        <w:t>2</w:t>
      </w:r>
      <w:r w:rsidR="0005355D" w:rsidRPr="009E0ABF">
        <w:rPr>
          <w:rFonts w:hint="eastAsia"/>
          <w:b/>
          <w:bCs/>
        </w:rPr>
        <w:t>．</w:t>
      </w:r>
      <w:r w:rsidR="0005355D" w:rsidRPr="0005355D">
        <w:rPr>
          <w:rFonts w:hint="eastAsia"/>
          <w:b/>
          <w:bCs/>
        </w:rPr>
        <w:t>よみうりランド</w:t>
      </w:r>
      <w:r w:rsidR="0005355D" w:rsidRPr="009E0ABF">
        <w:rPr>
          <w:rFonts w:hint="eastAsia"/>
          <w:b/>
          <w:bCs/>
        </w:rPr>
        <w:t>社の</w:t>
      </w:r>
      <w:r w:rsidR="0005355D">
        <w:rPr>
          <w:rFonts w:hint="eastAsia"/>
          <w:b/>
          <w:bCs/>
        </w:rPr>
        <w:t>財務諸表分析</w:t>
      </w:r>
    </w:p>
    <w:p w14:paraId="7A79DE67" w14:textId="70459E1F" w:rsidR="007B3065" w:rsidRPr="00C51AE1" w:rsidRDefault="00110BBD" w:rsidP="0005355D">
      <w:r>
        <w:rPr>
          <w:rFonts w:hint="eastAsia"/>
        </w:rPr>
        <w:t xml:space="preserve">　</w:t>
      </w:r>
      <w:r w:rsidR="00C51AE1">
        <w:rPr>
          <w:rFonts w:hint="eastAsia"/>
        </w:rPr>
        <w:t>よみうりランドの来場者数は年間190万人であり、遊園地部門において、鈴鹿サーキットに次いで、第2位の来場者数を記録している。以下では、よみうりランド社の財務諸表分析を行い、財務</w:t>
      </w:r>
      <w:r w:rsidR="000214C0">
        <w:rPr>
          <w:rFonts w:hint="eastAsia"/>
        </w:rPr>
        <w:t>の</w:t>
      </w:r>
      <w:r w:rsidR="00C51AE1">
        <w:rPr>
          <w:rFonts w:hint="eastAsia"/>
        </w:rPr>
        <w:t>安全性について考察する。</w:t>
      </w:r>
    </w:p>
    <w:p w14:paraId="70A250DA" w14:textId="77777777" w:rsidR="007B3065" w:rsidRPr="00110BBD" w:rsidRDefault="007B3065" w:rsidP="0005355D"/>
    <w:p w14:paraId="60731288" w14:textId="10581A17" w:rsidR="0005355D" w:rsidRDefault="002573EA" w:rsidP="0005355D">
      <w:pPr>
        <w:rPr>
          <w:b/>
          <w:bCs/>
        </w:rPr>
      </w:pPr>
      <w:r>
        <w:rPr>
          <w:b/>
          <w:bCs/>
        </w:rPr>
        <w:t>3</w:t>
      </w:r>
      <w:r w:rsidR="0005355D" w:rsidRPr="009E0ABF">
        <w:rPr>
          <w:rFonts w:hint="eastAsia"/>
          <w:b/>
          <w:bCs/>
        </w:rPr>
        <w:t>－</w:t>
      </w:r>
      <w:r w:rsidR="00C51AE1">
        <w:rPr>
          <w:b/>
          <w:bCs/>
        </w:rPr>
        <w:t>2</w:t>
      </w:r>
      <w:r w:rsidR="0005355D">
        <w:rPr>
          <w:rFonts w:hint="eastAsia"/>
          <w:b/>
          <w:bCs/>
        </w:rPr>
        <w:t>－1</w:t>
      </w:r>
      <w:r w:rsidR="0005355D" w:rsidRPr="009E0ABF">
        <w:rPr>
          <w:rFonts w:hint="eastAsia"/>
          <w:b/>
          <w:bCs/>
        </w:rPr>
        <w:t>．</w:t>
      </w:r>
      <w:r w:rsidR="0005355D" w:rsidRPr="0005355D">
        <w:rPr>
          <w:rFonts w:hint="eastAsia"/>
          <w:b/>
          <w:bCs/>
        </w:rPr>
        <w:t>よみうりランド</w:t>
      </w:r>
      <w:r w:rsidR="0005355D" w:rsidRPr="009E0ABF">
        <w:rPr>
          <w:rFonts w:hint="eastAsia"/>
          <w:b/>
          <w:bCs/>
        </w:rPr>
        <w:t>社の事業内容</w:t>
      </w:r>
    </w:p>
    <w:p w14:paraId="4D7DB6AB" w14:textId="3B1B7AFE" w:rsidR="007B3065" w:rsidRDefault="007B3065" w:rsidP="0005355D">
      <w:r>
        <w:rPr>
          <w:rFonts w:hint="eastAsia"/>
        </w:rPr>
        <w:t xml:space="preserve">　</w:t>
      </w:r>
      <w:r w:rsidR="001F1C7F">
        <w:rPr>
          <w:rFonts w:hint="eastAsia"/>
        </w:rPr>
        <w:t>よみうりランド社は、総合レジャー事業を主力な内容とし、次のセグメント事業から構成されている。</w:t>
      </w:r>
    </w:p>
    <w:p w14:paraId="14F3D208" w14:textId="1A7939D4" w:rsidR="001F1C7F" w:rsidRDefault="001F1C7F" w:rsidP="001F1C7F">
      <w:pPr>
        <w:ind w:firstLineChars="100" w:firstLine="210"/>
      </w:pPr>
      <w:r>
        <w:t xml:space="preserve"> (</w:t>
      </w:r>
      <w:r>
        <w:rPr>
          <w:rFonts w:hint="eastAsia"/>
        </w:rPr>
        <w:t>a</w:t>
      </w:r>
      <w:r>
        <w:t>)</w:t>
      </w:r>
      <w:r>
        <w:rPr>
          <w:rFonts w:hint="eastAsia"/>
        </w:rPr>
        <w:t>．総合レジャー事業</w:t>
      </w:r>
    </w:p>
    <w:p w14:paraId="37AC300A" w14:textId="11FC44EB" w:rsidR="001F1C7F" w:rsidRDefault="001F1C7F" w:rsidP="001F1C7F">
      <w:pPr>
        <w:ind w:firstLineChars="100" w:firstLine="210"/>
      </w:pPr>
      <w:r>
        <w:rPr>
          <w:rFonts w:hint="eastAsia"/>
        </w:rPr>
        <w:t xml:space="preserve">　　1．</w:t>
      </w:r>
      <w:r w:rsidR="000D65F4">
        <w:rPr>
          <w:rFonts w:hint="eastAsia"/>
        </w:rPr>
        <w:t>公営競技部門（競馬場施設）</w:t>
      </w:r>
    </w:p>
    <w:p w14:paraId="09899EF4" w14:textId="63869E27" w:rsidR="000D65F4" w:rsidRDefault="000D65F4" w:rsidP="001F1C7F">
      <w:pPr>
        <w:ind w:firstLineChars="100" w:firstLine="210"/>
      </w:pPr>
      <w:r>
        <w:rPr>
          <w:rFonts w:hint="eastAsia"/>
        </w:rPr>
        <w:t xml:space="preserve">　　2．ゴルフ部門</w:t>
      </w:r>
    </w:p>
    <w:p w14:paraId="3E6E1CE1" w14:textId="04BFDE30" w:rsidR="000D65F4" w:rsidRDefault="000D65F4" w:rsidP="001F1C7F">
      <w:pPr>
        <w:ind w:firstLineChars="100" w:firstLine="210"/>
      </w:pPr>
      <w:r>
        <w:rPr>
          <w:rFonts w:hint="eastAsia"/>
        </w:rPr>
        <w:t xml:space="preserve">　　3．遊園地部門</w:t>
      </w:r>
    </w:p>
    <w:p w14:paraId="4FBB94CE" w14:textId="07B3F592" w:rsidR="000D65F4" w:rsidRDefault="000D65F4" w:rsidP="001F1C7F">
      <w:pPr>
        <w:ind w:firstLineChars="100" w:firstLine="210"/>
      </w:pPr>
      <w:r>
        <w:rPr>
          <w:rFonts w:hint="eastAsia"/>
        </w:rPr>
        <w:t xml:space="preserve">　　4．販売部門</w:t>
      </w:r>
    </w:p>
    <w:p w14:paraId="68CD32C7" w14:textId="644E337B" w:rsidR="001F1C7F" w:rsidRDefault="001F1C7F" w:rsidP="001F1C7F">
      <w:pPr>
        <w:ind w:firstLineChars="150" w:firstLine="315"/>
      </w:pPr>
      <w:r>
        <w:t>(</w:t>
      </w:r>
      <w:r>
        <w:rPr>
          <w:rFonts w:hint="eastAsia"/>
        </w:rPr>
        <w:t>b</w:t>
      </w:r>
      <w:r>
        <w:t>)</w:t>
      </w:r>
      <w:r>
        <w:rPr>
          <w:rFonts w:hint="eastAsia"/>
        </w:rPr>
        <w:t>．</w:t>
      </w:r>
      <w:r w:rsidR="000D65F4">
        <w:rPr>
          <w:rFonts w:hint="eastAsia"/>
        </w:rPr>
        <w:t>不動産事業</w:t>
      </w:r>
    </w:p>
    <w:p w14:paraId="284A366B" w14:textId="357AF6D7" w:rsidR="001F1C7F" w:rsidRDefault="001F1C7F" w:rsidP="000D65F4">
      <w:pPr>
        <w:ind w:firstLineChars="150" w:firstLine="315"/>
      </w:pPr>
      <w:r>
        <w:t>(</w:t>
      </w:r>
      <w:r>
        <w:rPr>
          <w:rFonts w:hint="eastAsia"/>
        </w:rPr>
        <w:t>c</w:t>
      </w:r>
      <w:r>
        <w:t>)</w:t>
      </w:r>
      <w:r>
        <w:rPr>
          <w:rFonts w:hint="eastAsia"/>
        </w:rPr>
        <w:t>．</w:t>
      </w:r>
      <w:r w:rsidR="000D65F4">
        <w:rPr>
          <w:rFonts w:hint="eastAsia"/>
        </w:rPr>
        <w:t>サポートサービス事業（管理部門）</w:t>
      </w:r>
    </w:p>
    <w:p w14:paraId="29397FD7" w14:textId="5EA16804" w:rsidR="007B3065" w:rsidRDefault="000D65F4" w:rsidP="0005355D">
      <w:r>
        <w:rPr>
          <w:rFonts w:hint="eastAsia"/>
        </w:rPr>
        <w:lastRenderedPageBreak/>
        <w:t xml:space="preserve">　よみうりランド社の主力事業は総合レジャー事業であり、全体の売上高の8割を占めている。</w:t>
      </w:r>
      <w:r w:rsidR="001423CA">
        <w:rPr>
          <w:rFonts w:hint="eastAsia"/>
        </w:rPr>
        <w:t>総合レジャー事業に関して、</w:t>
      </w:r>
      <w:r w:rsidR="00814D94">
        <w:rPr>
          <w:rFonts w:hint="eastAsia"/>
        </w:rPr>
        <w:t>2020年度の</w:t>
      </w:r>
      <w:r w:rsidR="001423CA">
        <w:rPr>
          <w:rFonts w:hint="eastAsia"/>
        </w:rPr>
        <w:t>部門別売上高を</w:t>
      </w:r>
      <w:r w:rsidR="00814D94">
        <w:rPr>
          <w:rFonts w:hint="eastAsia"/>
        </w:rPr>
        <w:t>みると、公営競技部門が8</w:t>
      </w:r>
      <w:r w:rsidR="00814D94">
        <w:t>0.3</w:t>
      </w:r>
      <w:r w:rsidR="00814D94">
        <w:rPr>
          <w:rFonts w:hint="eastAsia"/>
        </w:rPr>
        <w:t>億円、ゴルフ部門が2</w:t>
      </w:r>
      <w:r w:rsidR="00814D94">
        <w:t>9.3</w:t>
      </w:r>
      <w:r w:rsidR="00814D94">
        <w:rPr>
          <w:rFonts w:hint="eastAsia"/>
        </w:rPr>
        <w:t>億円、遊園地部門が5</w:t>
      </w:r>
      <w:r w:rsidR="00814D94">
        <w:t>1.9</w:t>
      </w:r>
      <w:r w:rsidR="00814D94">
        <w:rPr>
          <w:rFonts w:hint="eastAsia"/>
        </w:rPr>
        <w:t>億円、販売部門が3</w:t>
      </w:r>
      <w:r w:rsidR="00814D94">
        <w:t>1.9</w:t>
      </w:r>
      <w:r w:rsidR="00814D94">
        <w:rPr>
          <w:rFonts w:hint="eastAsia"/>
        </w:rPr>
        <w:t>億円であり、公営競技部門</w:t>
      </w:r>
      <w:r w:rsidR="001423CA">
        <w:rPr>
          <w:rFonts w:hint="eastAsia"/>
        </w:rPr>
        <w:t>が</w:t>
      </w:r>
      <w:r w:rsidR="00814D94">
        <w:rPr>
          <w:rFonts w:hint="eastAsia"/>
        </w:rPr>
        <w:t>収益の柱として</w:t>
      </w:r>
      <w:r w:rsidR="001423CA">
        <w:rPr>
          <w:rFonts w:hint="eastAsia"/>
        </w:rPr>
        <w:t>牽引している。</w:t>
      </w:r>
      <w:r w:rsidR="00517566">
        <w:rPr>
          <w:rFonts w:hint="eastAsia"/>
        </w:rPr>
        <w:t>このように、よみうりランド社は、</w:t>
      </w:r>
      <w:r w:rsidR="001423CA">
        <w:rPr>
          <w:rFonts w:hint="eastAsia"/>
        </w:rPr>
        <w:t>O</w:t>
      </w:r>
      <w:r w:rsidR="001423CA">
        <w:t>LC</w:t>
      </w:r>
      <w:r w:rsidR="001423CA">
        <w:rPr>
          <w:rFonts w:hint="eastAsia"/>
        </w:rPr>
        <w:t>やH</w:t>
      </w:r>
      <w:r w:rsidR="001423CA">
        <w:t>IS</w:t>
      </w:r>
      <w:r w:rsidR="001423CA">
        <w:rPr>
          <w:rFonts w:hint="eastAsia"/>
        </w:rPr>
        <w:t>社と</w:t>
      </w:r>
      <w:r w:rsidR="00517566">
        <w:rPr>
          <w:rFonts w:hint="eastAsia"/>
        </w:rPr>
        <w:t>異なり</w:t>
      </w:r>
      <w:r w:rsidR="001423CA">
        <w:rPr>
          <w:rFonts w:hint="eastAsia"/>
        </w:rPr>
        <w:t>、収益の柱がテーマパーク事業や旅行事業のように一</w:t>
      </w:r>
      <w:r w:rsidR="00517566">
        <w:rPr>
          <w:rFonts w:hint="eastAsia"/>
        </w:rPr>
        <w:t>つに</w:t>
      </w:r>
      <w:r w:rsidR="001423CA">
        <w:rPr>
          <w:rFonts w:hint="eastAsia"/>
        </w:rPr>
        <w:t>集中せず、4つの事業に分散されていることが特徴的である。</w:t>
      </w:r>
    </w:p>
    <w:p w14:paraId="3B9C697E" w14:textId="77777777" w:rsidR="007B3065" w:rsidRPr="007B3065" w:rsidRDefault="007B3065" w:rsidP="0005355D"/>
    <w:p w14:paraId="399AE517" w14:textId="7BB99865" w:rsidR="0005355D" w:rsidRDefault="002573EA" w:rsidP="0005355D">
      <w:pPr>
        <w:rPr>
          <w:b/>
          <w:bCs/>
        </w:rPr>
      </w:pPr>
      <w:r>
        <w:rPr>
          <w:b/>
          <w:bCs/>
        </w:rPr>
        <w:t>3</w:t>
      </w:r>
      <w:r w:rsidR="0005355D" w:rsidRPr="009E0ABF">
        <w:rPr>
          <w:rFonts w:hint="eastAsia"/>
          <w:b/>
          <w:bCs/>
        </w:rPr>
        <w:t>－</w:t>
      </w:r>
      <w:r w:rsidR="000214C0">
        <w:rPr>
          <w:b/>
          <w:bCs/>
        </w:rPr>
        <w:t>2</w:t>
      </w:r>
      <w:r w:rsidR="0005355D">
        <w:rPr>
          <w:rFonts w:hint="eastAsia"/>
          <w:b/>
          <w:bCs/>
        </w:rPr>
        <w:t>－2</w:t>
      </w:r>
      <w:r w:rsidR="0005355D" w:rsidRPr="009E0ABF">
        <w:rPr>
          <w:rFonts w:hint="eastAsia"/>
          <w:b/>
          <w:bCs/>
        </w:rPr>
        <w:t>．</w:t>
      </w:r>
      <w:r w:rsidR="0005355D" w:rsidRPr="0005355D">
        <w:rPr>
          <w:rFonts w:hint="eastAsia"/>
          <w:b/>
          <w:bCs/>
        </w:rPr>
        <w:t>よみうりランド</w:t>
      </w:r>
      <w:r w:rsidR="0005355D" w:rsidRPr="009E0ABF">
        <w:rPr>
          <w:rFonts w:hint="eastAsia"/>
          <w:b/>
          <w:bCs/>
        </w:rPr>
        <w:t>社の</w:t>
      </w:r>
      <w:r w:rsidR="0005355D">
        <w:rPr>
          <w:rFonts w:hint="eastAsia"/>
          <w:b/>
          <w:bCs/>
        </w:rPr>
        <w:t>経営成績と財政状態</w:t>
      </w:r>
    </w:p>
    <w:p w14:paraId="7ED5AE9F" w14:textId="24EA0CEA" w:rsidR="00517566" w:rsidRDefault="00517566" w:rsidP="00517566">
      <w:r>
        <w:rPr>
          <w:rFonts w:hint="eastAsia"/>
        </w:rPr>
        <w:t xml:space="preserve">　よみうりランド社は3月期決算であり、2020年</w:t>
      </w:r>
      <w:r w:rsidR="00AD30B9">
        <w:rPr>
          <w:rFonts w:hint="eastAsia"/>
        </w:rPr>
        <w:t>度有価証券報告書</w:t>
      </w:r>
      <w:r>
        <w:rPr>
          <w:rFonts w:hint="eastAsia"/>
        </w:rPr>
        <w:t>（</w:t>
      </w:r>
      <w:r>
        <w:t>20.</w:t>
      </w:r>
      <w:r w:rsidR="00AD30B9">
        <w:rPr>
          <w:rFonts w:hint="eastAsia"/>
        </w:rPr>
        <w:t>4</w:t>
      </w:r>
      <w:r>
        <w:t>Q</w:t>
      </w:r>
      <w:r>
        <w:rPr>
          <w:rFonts w:hint="eastAsia"/>
        </w:rPr>
        <w:t>）</w:t>
      </w:r>
      <w:r w:rsidR="0002785B">
        <w:rPr>
          <w:rFonts w:hint="eastAsia"/>
        </w:rPr>
        <w:t>と</w:t>
      </w:r>
      <w:r>
        <w:rPr>
          <w:rFonts w:hint="eastAsia"/>
        </w:rPr>
        <w:t>202</w:t>
      </w:r>
      <w:r w:rsidR="00AD30B9">
        <w:t>1</w:t>
      </w:r>
      <w:r w:rsidR="00AD30B9">
        <w:rPr>
          <w:rFonts w:hint="eastAsia"/>
        </w:rPr>
        <w:t>年度</w:t>
      </w:r>
      <w:r>
        <w:rPr>
          <w:rFonts w:hint="eastAsia"/>
        </w:rPr>
        <w:t>第</w:t>
      </w:r>
      <w:r w:rsidR="00AD30B9">
        <w:t>1</w:t>
      </w:r>
      <w:r>
        <w:rPr>
          <w:rFonts w:hint="eastAsia"/>
        </w:rPr>
        <w:t>四半期</w:t>
      </w:r>
      <w:r w:rsidR="00AD30B9">
        <w:rPr>
          <w:rFonts w:hint="eastAsia"/>
        </w:rPr>
        <w:t>（2</w:t>
      </w:r>
      <w:r w:rsidR="00AD30B9">
        <w:t>1.1Q</w:t>
      </w:r>
      <w:r w:rsidR="00AD30B9">
        <w:rPr>
          <w:rFonts w:hint="eastAsia"/>
        </w:rPr>
        <w:t>）</w:t>
      </w:r>
      <w:r>
        <w:rPr>
          <w:rFonts w:hint="eastAsia"/>
        </w:rPr>
        <w:t>の財務数値を比較することにより、コロナの影響を把握することができる。表1</w:t>
      </w:r>
      <w:r w:rsidR="00AD30B9">
        <w:rPr>
          <w:rFonts w:hint="eastAsia"/>
        </w:rPr>
        <w:t>6</w:t>
      </w:r>
      <w:r>
        <w:rPr>
          <w:rFonts w:hint="eastAsia"/>
        </w:rPr>
        <w:t>、表1</w:t>
      </w:r>
      <w:r w:rsidR="00AD30B9">
        <w:t>7</w:t>
      </w:r>
      <w:r w:rsidR="00AD30B9">
        <w:rPr>
          <w:rFonts w:hint="eastAsia"/>
        </w:rPr>
        <w:t>、表18</w:t>
      </w:r>
      <w:r>
        <w:rPr>
          <w:rFonts w:hint="eastAsia"/>
        </w:rPr>
        <w:t>は、</w:t>
      </w:r>
      <w:r w:rsidR="00AD30B9">
        <w:rPr>
          <w:rFonts w:hint="eastAsia"/>
        </w:rPr>
        <w:t>よみうりランド</w:t>
      </w:r>
      <w:r>
        <w:rPr>
          <w:rFonts w:hint="eastAsia"/>
        </w:rPr>
        <w:t>社の損益計算書・貸借対照表を一部抜粋してまとめたものである。表1</w:t>
      </w:r>
      <w:r w:rsidR="00AD30B9">
        <w:t>9</w:t>
      </w:r>
      <w:r>
        <w:rPr>
          <w:rFonts w:hint="eastAsia"/>
        </w:rPr>
        <w:t>は、過去3年間の有価証券報告書の財務数値をもとに</w:t>
      </w:r>
      <w:r>
        <w:t>ROE</w:t>
      </w:r>
      <w:r>
        <w:rPr>
          <w:rFonts w:hint="eastAsia"/>
        </w:rPr>
        <w:t>を測定し、各指標に分解したものである。以下、推計結果である。</w:t>
      </w:r>
    </w:p>
    <w:p w14:paraId="66990A56" w14:textId="2651E0F4" w:rsidR="00517566" w:rsidRDefault="00517566" w:rsidP="00517566">
      <w:r>
        <w:rPr>
          <w:rFonts w:hint="eastAsia"/>
        </w:rPr>
        <w:t xml:space="preserve">　表1</w:t>
      </w:r>
      <w:r w:rsidR="009208D8">
        <w:t>6</w:t>
      </w:r>
      <w:r>
        <w:rPr>
          <w:rFonts w:hint="eastAsia"/>
        </w:rPr>
        <w:t>の損益計算書</w:t>
      </w:r>
      <w:r w:rsidR="001D30E8">
        <w:rPr>
          <w:rFonts w:hint="eastAsia"/>
        </w:rPr>
        <w:t>より、</w:t>
      </w:r>
      <w:r>
        <w:rPr>
          <w:rFonts w:hint="eastAsia"/>
        </w:rPr>
        <w:t>202</w:t>
      </w:r>
      <w:r w:rsidR="00AD30B9">
        <w:t>1</w:t>
      </w:r>
      <w:r>
        <w:rPr>
          <w:rFonts w:hint="eastAsia"/>
        </w:rPr>
        <w:t>年第</w:t>
      </w:r>
      <w:r w:rsidR="00AD30B9">
        <w:t>1</w:t>
      </w:r>
      <w:r>
        <w:rPr>
          <w:rFonts w:hint="eastAsia"/>
        </w:rPr>
        <w:t>四半期（</w:t>
      </w:r>
      <w:r>
        <w:t>2</w:t>
      </w:r>
      <w:r w:rsidR="00AD30B9">
        <w:t>1</w:t>
      </w:r>
      <w:r>
        <w:t>.</w:t>
      </w:r>
      <w:r w:rsidR="00AD30B9">
        <w:t>1</w:t>
      </w:r>
      <w:r>
        <w:t>Q</w:t>
      </w:r>
      <w:r>
        <w:rPr>
          <w:rFonts w:hint="eastAsia"/>
        </w:rPr>
        <w:t>）を前期と比較すると、売上高は</w:t>
      </w:r>
      <w:r w:rsidR="00AD30B9">
        <w:t>30.9</w:t>
      </w:r>
      <w:r>
        <w:rPr>
          <w:rFonts w:hint="eastAsia"/>
        </w:rPr>
        <w:t>億円</w:t>
      </w:r>
      <w:r w:rsidR="00AD30B9">
        <w:rPr>
          <w:rFonts w:hint="eastAsia"/>
        </w:rPr>
        <w:t>で</w:t>
      </w:r>
      <w:r w:rsidR="00AD30B9">
        <w:t>31.5</w:t>
      </w:r>
      <w:r w:rsidR="00AD30B9">
        <w:rPr>
          <w:rFonts w:hint="eastAsia"/>
        </w:rPr>
        <w:t>億円減少しているが</w:t>
      </w:r>
      <w:r>
        <w:rPr>
          <w:rFonts w:hint="eastAsia"/>
        </w:rPr>
        <w:t>、営業利益</w:t>
      </w:r>
      <w:r w:rsidR="00AD30B9">
        <w:rPr>
          <w:rFonts w:hint="eastAsia"/>
        </w:rPr>
        <w:t>は5</w:t>
      </w:r>
      <w:r w:rsidR="00AD30B9">
        <w:t>.1</w:t>
      </w:r>
      <w:r w:rsidR="00AD30B9">
        <w:rPr>
          <w:rFonts w:hint="eastAsia"/>
        </w:rPr>
        <w:t>億円の黒字</w:t>
      </w:r>
      <w:r>
        <w:rPr>
          <w:rFonts w:hint="eastAsia"/>
        </w:rPr>
        <w:t>、</w:t>
      </w:r>
      <w:r w:rsidR="00AD30B9">
        <w:rPr>
          <w:rFonts w:hint="eastAsia"/>
        </w:rPr>
        <w:t>経常利益は6</w:t>
      </w:r>
      <w:r w:rsidR="00AD30B9">
        <w:t>.6.</w:t>
      </w:r>
      <w:r w:rsidR="00AD30B9">
        <w:rPr>
          <w:rFonts w:hint="eastAsia"/>
        </w:rPr>
        <w:t>億円黒字である。最終的な財務数値では、</w:t>
      </w:r>
      <w:r>
        <w:rPr>
          <w:rFonts w:hint="eastAsia"/>
        </w:rPr>
        <w:t>特別損失</w:t>
      </w:r>
      <w:r w:rsidR="00AD30B9">
        <w:rPr>
          <w:rFonts w:hint="eastAsia"/>
        </w:rPr>
        <w:t>が</w:t>
      </w:r>
      <w:r w:rsidR="00AD30B9">
        <w:t>8.8</w:t>
      </w:r>
      <w:r>
        <w:rPr>
          <w:rFonts w:hint="eastAsia"/>
        </w:rPr>
        <w:t>億円</w:t>
      </w:r>
      <w:r w:rsidR="00AD30B9">
        <w:rPr>
          <w:rFonts w:hint="eastAsia"/>
        </w:rPr>
        <w:t>計上されていることもあり</w:t>
      </w:r>
      <w:r>
        <w:rPr>
          <w:rFonts w:hint="eastAsia"/>
        </w:rPr>
        <w:t>、当期純利益は</w:t>
      </w:r>
      <w:r w:rsidR="00AD30B9">
        <w:t>1.4</w:t>
      </w:r>
      <w:r>
        <w:rPr>
          <w:rFonts w:hint="eastAsia"/>
        </w:rPr>
        <w:t>億円の赤字</w:t>
      </w:r>
      <w:r w:rsidR="009208D8">
        <w:rPr>
          <w:rFonts w:hint="eastAsia"/>
        </w:rPr>
        <w:t>となっているが、本業は売上原価の大幅な削減により黒字化を達成している。</w:t>
      </w:r>
    </w:p>
    <w:p w14:paraId="182E79C2" w14:textId="17B24BFE" w:rsidR="00517566" w:rsidRDefault="00517566" w:rsidP="00517566">
      <w:r>
        <w:rPr>
          <w:rFonts w:hint="eastAsia"/>
        </w:rPr>
        <w:t xml:space="preserve">　表1</w:t>
      </w:r>
      <w:r w:rsidR="009208D8">
        <w:t>7</w:t>
      </w:r>
      <w:r>
        <w:rPr>
          <w:rFonts w:hint="eastAsia"/>
        </w:rPr>
        <w:t>の貸借対照表</w:t>
      </w:r>
      <w:r w:rsidR="0002785B">
        <w:rPr>
          <w:rFonts w:hint="eastAsia"/>
        </w:rPr>
        <w:t>：</w:t>
      </w:r>
      <w:r>
        <w:rPr>
          <w:rFonts w:hint="eastAsia"/>
        </w:rPr>
        <w:t>資産の部をみると、流動資産は前期比で</w:t>
      </w:r>
      <w:r w:rsidR="0002785B">
        <w:t>53</w:t>
      </w:r>
      <w:r>
        <w:rPr>
          <w:rFonts w:hint="eastAsia"/>
        </w:rPr>
        <w:t>億円</w:t>
      </w:r>
      <w:r w:rsidR="0002785B">
        <w:rPr>
          <w:rFonts w:hint="eastAsia"/>
        </w:rPr>
        <w:t>増加し</w:t>
      </w:r>
      <w:r>
        <w:rPr>
          <w:rFonts w:hint="eastAsia"/>
        </w:rPr>
        <w:t>、その</w:t>
      </w:r>
      <w:r w:rsidR="0002785B">
        <w:rPr>
          <w:rFonts w:hint="eastAsia"/>
        </w:rPr>
        <w:t>内訳は</w:t>
      </w:r>
      <w:r>
        <w:rPr>
          <w:rFonts w:hint="eastAsia"/>
        </w:rPr>
        <w:t>現金及び預金が約</w:t>
      </w:r>
      <w:r w:rsidR="0002785B">
        <w:t>27</w:t>
      </w:r>
      <w:r>
        <w:rPr>
          <w:rFonts w:hint="eastAsia"/>
        </w:rPr>
        <w:t>億円、受取手形及び売掛金が</w:t>
      </w:r>
      <w:r w:rsidR="0002785B">
        <w:rPr>
          <w:rFonts w:hint="eastAsia"/>
        </w:rPr>
        <w:t>約</w:t>
      </w:r>
      <w:r w:rsidR="0002785B">
        <w:t>18</w:t>
      </w:r>
      <w:r>
        <w:rPr>
          <w:rFonts w:hint="eastAsia"/>
        </w:rPr>
        <w:t>億円</w:t>
      </w:r>
      <w:r w:rsidR="0002785B">
        <w:rPr>
          <w:rFonts w:hint="eastAsia"/>
        </w:rPr>
        <w:t>である</w:t>
      </w:r>
      <w:r>
        <w:rPr>
          <w:rFonts w:hint="eastAsia"/>
        </w:rPr>
        <w:t>。</w:t>
      </w:r>
      <w:r w:rsidR="0002785B">
        <w:rPr>
          <w:rFonts w:hint="eastAsia"/>
        </w:rPr>
        <w:t>この流動資産の増加は、借入金による資金調達が影響しており、表18の負債の部をみると、短期借入金が20億円、長期借入金が10億円増加している。</w:t>
      </w:r>
    </w:p>
    <w:p w14:paraId="28565861" w14:textId="5AFEB3B3" w:rsidR="007B3065" w:rsidRDefault="00517566" w:rsidP="0005355D">
      <w:r>
        <w:rPr>
          <w:rFonts w:hint="eastAsia"/>
        </w:rPr>
        <w:t xml:space="preserve">　表</w:t>
      </w:r>
      <w:r w:rsidR="009208D8">
        <w:t>19</w:t>
      </w:r>
      <w:r>
        <w:rPr>
          <w:rFonts w:hint="eastAsia"/>
        </w:rPr>
        <w:t>は</w:t>
      </w:r>
      <w:r w:rsidR="00126CE0">
        <w:rPr>
          <w:rFonts w:hint="eastAsia"/>
        </w:rPr>
        <w:t>よみうりランド社</w:t>
      </w:r>
      <w:r>
        <w:rPr>
          <w:rFonts w:hint="eastAsia"/>
        </w:rPr>
        <w:t>の</w:t>
      </w:r>
      <w:r w:rsidR="00126CE0">
        <w:rPr>
          <w:rFonts w:hint="eastAsia"/>
        </w:rPr>
        <w:t>過去3年間の</w:t>
      </w:r>
      <w:r>
        <w:rPr>
          <w:rFonts w:hint="eastAsia"/>
        </w:rPr>
        <w:t>R</w:t>
      </w:r>
      <w:r>
        <w:t>OE</w:t>
      </w:r>
      <w:r>
        <w:rPr>
          <w:rFonts w:hint="eastAsia"/>
        </w:rPr>
        <w:t>であり、</w:t>
      </w:r>
      <w:r w:rsidR="00126CE0">
        <w:rPr>
          <w:rFonts w:hint="eastAsia"/>
        </w:rPr>
        <w:t>収益性・効率性・安全性の指標</w:t>
      </w:r>
      <w:r w:rsidR="00C05B0C">
        <w:rPr>
          <w:rFonts w:hint="eastAsia"/>
        </w:rPr>
        <w:t>は不動産業界の水準と近似している</w:t>
      </w:r>
      <w:r w:rsidR="00C05B0C">
        <w:rPr>
          <w:rStyle w:val="af0"/>
        </w:rPr>
        <w:footnoteReference w:id="6"/>
      </w:r>
      <w:r>
        <w:rPr>
          <w:rFonts w:hint="eastAsia"/>
        </w:rPr>
        <w:t>。</w:t>
      </w:r>
      <w:r w:rsidR="00126CE0">
        <w:rPr>
          <w:rFonts w:hint="eastAsia"/>
        </w:rPr>
        <w:t>総資本回転率の数値は低いものの、</w:t>
      </w:r>
      <w:r w:rsidR="00A07368">
        <w:rPr>
          <w:rFonts w:hint="eastAsia"/>
        </w:rPr>
        <w:t>当期純利益率は高水準で、</w:t>
      </w:r>
      <w:r w:rsidR="00126CE0">
        <w:rPr>
          <w:rFonts w:hint="eastAsia"/>
        </w:rPr>
        <w:t>自己資本比率</w:t>
      </w:r>
      <w:r w:rsidR="00C05B0C">
        <w:rPr>
          <w:rFonts w:hint="eastAsia"/>
        </w:rPr>
        <w:t>も全産業平均より上回っている</w:t>
      </w:r>
      <w:r w:rsidR="00A07368">
        <w:rPr>
          <w:rFonts w:hint="eastAsia"/>
        </w:rPr>
        <w:t>。その結果、</w:t>
      </w:r>
      <w:r>
        <w:rPr>
          <w:rFonts w:hint="eastAsia"/>
        </w:rPr>
        <w:t>財務レバレッジ</w:t>
      </w:r>
      <w:r w:rsidR="00126CE0">
        <w:rPr>
          <w:rFonts w:hint="eastAsia"/>
        </w:rPr>
        <w:t>も</w:t>
      </w:r>
      <w:r>
        <w:rPr>
          <w:rFonts w:hint="eastAsia"/>
        </w:rPr>
        <w:t>2</w:t>
      </w:r>
      <w:r w:rsidR="00126CE0">
        <w:t>.3</w:t>
      </w:r>
      <w:r>
        <w:rPr>
          <w:rFonts w:hint="eastAsia"/>
        </w:rPr>
        <w:t>倍</w:t>
      </w:r>
      <w:r w:rsidR="00126CE0">
        <w:rPr>
          <w:rFonts w:hint="eastAsia"/>
        </w:rPr>
        <w:t>となり、財務上の安全性は</w:t>
      </w:r>
      <w:r>
        <w:rPr>
          <w:rFonts w:hint="eastAsia"/>
        </w:rPr>
        <w:t>優良企業</w:t>
      </w:r>
      <w:r w:rsidR="00541560">
        <w:rPr>
          <w:rFonts w:hint="eastAsia"/>
        </w:rPr>
        <w:t>並みの</w:t>
      </w:r>
      <w:r>
        <w:rPr>
          <w:rFonts w:hint="eastAsia"/>
        </w:rPr>
        <w:t>水準</w:t>
      </w:r>
      <w:r w:rsidR="00A07368">
        <w:rPr>
          <w:rFonts w:hint="eastAsia"/>
        </w:rPr>
        <w:t>である。</w:t>
      </w:r>
      <w:r w:rsidR="00541560">
        <w:rPr>
          <w:rFonts w:hint="eastAsia"/>
        </w:rPr>
        <w:t>ただし、</w:t>
      </w:r>
      <w:r w:rsidR="00A07368">
        <w:rPr>
          <w:rFonts w:hint="eastAsia"/>
        </w:rPr>
        <w:t>R</w:t>
      </w:r>
      <w:r w:rsidR="00A07368">
        <w:t>OE</w:t>
      </w:r>
      <w:r w:rsidR="00A07368">
        <w:rPr>
          <w:rFonts w:hint="eastAsia"/>
        </w:rPr>
        <w:t>の中で懸念材料を挙げるならば、効率性を示す総資本回転率が低いこと</w:t>
      </w:r>
      <w:r w:rsidR="00541560">
        <w:rPr>
          <w:rFonts w:hint="eastAsia"/>
        </w:rPr>
        <w:t>である</w:t>
      </w:r>
      <w:r w:rsidR="00A07368">
        <w:rPr>
          <w:rFonts w:hint="eastAsia"/>
        </w:rPr>
        <w:t>。総資本回転率は、投下資本のうち、売上高で回収できた割合を示しており、よみうりランド社の場合、</w:t>
      </w:r>
      <w:r w:rsidR="00C05B0C">
        <w:rPr>
          <w:rFonts w:hint="eastAsia"/>
        </w:rPr>
        <w:t>毎年</w:t>
      </w:r>
      <w:r w:rsidR="00951807">
        <w:rPr>
          <w:rFonts w:hint="eastAsia"/>
        </w:rPr>
        <w:t>の</w:t>
      </w:r>
      <w:r w:rsidR="00A07368">
        <w:rPr>
          <w:rFonts w:hint="eastAsia"/>
        </w:rPr>
        <w:t>投下資本に対して3</w:t>
      </w:r>
      <w:r w:rsidR="00541560">
        <w:t>0</w:t>
      </w:r>
      <w:r w:rsidR="00541560">
        <w:rPr>
          <w:rFonts w:hint="eastAsia"/>
        </w:rPr>
        <w:t>%</w:t>
      </w:r>
      <w:r w:rsidR="00A07368">
        <w:rPr>
          <w:rFonts w:hint="eastAsia"/>
        </w:rPr>
        <w:t>ほどしか回収</w:t>
      </w:r>
      <w:r w:rsidR="00EB6028">
        <w:rPr>
          <w:rFonts w:hint="eastAsia"/>
        </w:rPr>
        <w:t>できていない状況である。</w:t>
      </w:r>
    </w:p>
    <w:p w14:paraId="0EAF6E5A" w14:textId="7B2923B2" w:rsidR="00A07368" w:rsidRDefault="00A07368" w:rsidP="0005355D"/>
    <w:p w14:paraId="26F4E03C" w14:textId="1A1841F2" w:rsidR="006F241C" w:rsidRDefault="006F241C" w:rsidP="0005355D">
      <w:pPr>
        <w:rPr>
          <w:b/>
          <w:bCs/>
        </w:rPr>
      </w:pPr>
    </w:p>
    <w:p w14:paraId="2FA6A014" w14:textId="2657FDD4" w:rsidR="000214C0" w:rsidRDefault="000214C0" w:rsidP="0005355D">
      <w:pPr>
        <w:rPr>
          <w:b/>
          <w:bCs/>
        </w:rPr>
      </w:pPr>
    </w:p>
    <w:p w14:paraId="18B16A56" w14:textId="6949212F" w:rsidR="000214C0" w:rsidRDefault="000214C0" w:rsidP="0005355D">
      <w:pPr>
        <w:rPr>
          <w:b/>
          <w:bCs/>
        </w:rPr>
      </w:pPr>
    </w:p>
    <w:p w14:paraId="358AEDE7" w14:textId="77777777" w:rsidR="000214C0" w:rsidRDefault="000214C0" w:rsidP="0005355D">
      <w:pPr>
        <w:rPr>
          <w:b/>
          <w:bCs/>
        </w:rPr>
      </w:pPr>
    </w:p>
    <w:p w14:paraId="3AEEFF44" w14:textId="2F6B4053" w:rsidR="007B3065" w:rsidRPr="00517566" w:rsidRDefault="00517566" w:rsidP="00517566">
      <w:pPr>
        <w:widowControl/>
        <w:jc w:val="left"/>
      </w:pPr>
      <w:r>
        <w:rPr>
          <w:rFonts w:hint="eastAsia"/>
        </w:rPr>
        <w:t>表</w:t>
      </w:r>
      <w:r>
        <w:t>16</w:t>
      </w:r>
      <w:r>
        <w:rPr>
          <w:rFonts w:hint="eastAsia"/>
        </w:rPr>
        <w:t xml:space="preserve">　よみうりランド社の損益計算書（四半期）</w:t>
      </w:r>
    </w:p>
    <w:tbl>
      <w:tblPr>
        <w:tblW w:w="8606" w:type="dxa"/>
        <w:tblInd w:w="-30" w:type="dxa"/>
        <w:tblLayout w:type="fixed"/>
        <w:tblCellMar>
          <w:left w:w="99" w:type="dxa"/>
          <w:right w:w="99" w:type="dxa"/>
        </w:tblCellMar>
        <w:tblLook w:val="0000" w:firstRow="0" w:lastRow="0" w:firstColumn="0" w:lastColumn="0" w:noHBand="0" w:noVBand="0"/>
      </w:tblPr>
      <w:tblGrid>
        <w:gridCol w:w="2933"/>
        <w:gridCol w:w="945"/>
        <w:gridCol w:w="946"/>
        <w:gridCol w:w="946"/>
        <w:gridCol w:w="945"/>
        <w:gridCol w:w="946"/>
        <w:gridCol w:w="945"/>
      </w:tblGrid>
      <w:tr w:rsidR="00517566" w14:paraId="3312C25B" w14:textId="77777777" w:rsidTr="00517566">
        <w:trPr>
          <w:trHeight w:val="319"/>
        </w:trPr>
        <w:tc>
          <w:tcPr>
            <w:tcW w:w="2933" w:type="dxa"/>
            <w:tcBorders>
              <w:top w:val="single" w:sz="6" w:space="0" w:color="000000"/>
              <w:left w:val="nil"/>
              <w:bottom w:val="single" w:sz="6" w:space="0" w:color="000000"/>
              <w:right w:val="nil"/>
            </w:tcBorders>
          </w:tcPr>
          <w:p w14:paraId="633F3201" w14:textId="77777777" w:rsidR="00517566" w:rsidRDefault="00517566">
            <w:pPr>
              <w:autoSpaceDE w:val="0"/>
              <w:autoSpaceDN w:val="0"/>
              <w:adjustRightInd w:val="0"/>
              <w:jc w:val="right"/>
              <w:rPr>
                <w:rFonts w:ascii="Calibri" w:hAnsi="Calibri" w:cs="Calibri"/>
                <w:color w:val="000000"/>
                <w:kern w:val="0"/>
                <w:sz w:val="20"/>
                <w:szCs w:val="20"/>
              </w:rPr>
            </w:pPr>
          </w:p>
        </w:tc>
        <w:tc>
          <w:tcPr>
            <w:tcW w:w="945" w:type="dxa"/>
            <w:tcBorders>
              <w:top w:val="single" w:sz="6" w:space="0" w:color="000000"/>
              <w:left w:val="nil"/>
              <w:bottom w:val="single" w:sz="6" w:space="0" w:color="000000"/>
              <w:right w:val="nil"/>
            </w:tcBorders>
          </w:tcPr>
          <w:p w14:paraId="0A6E3751" w14:textId="6596BF64" w:rsidR="00517566" w:rsidRPr="00C74F0E" w:rsidRDefault="00AD30B9">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19</w:t>
            </w:r>
            <w:r w:rsidR="00517566" w:rsidRPr="00C74F0E">
              <w:rPr>
                <w:rFonts w:ascii="Century" w:hAnsi="Century" w:cs="Arial"/>
                <w:b/>
                <w:bCs/>
                <w:color w:val="000000"/>
                <w:kern w:val="0"/>
                <w:sz w:val="20"/>
                <w:szCs w:val="20"/>
              </w:rPr>
              <w:t>.Q4</w:t>
            </w:r>
          </w:p>
        </w:tc>
        <w:tc>
          <w:tcPr>
            <w:tcW w:w="946" w:type="dxa"/>
            <w:tcBorders>
              <w:top w:val="single" w:sz="6" w:space="0" w:color="000000"/>
              <w:left w:val="nil"/>
              <w:bottom w:val="single" w:sz="6" w:space="0" w:color="000000"/>
              <w:right w:val="nil"/>
            </w:tcBorders>
          </w:tcPr>
          <w:p w14:paraId="414CE7EE" w14:textId="27E2B212" w:rsidR="00517566" w:rsidRPr="00C74F0E" w:rsidRDefault="00AD30B9">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20</w:t>
            </w:r>
            <w:r w:rsidR="00517566" w:rsidRPr="00C74F0E">
              <w:rPr>
                <w:rFonts w:ascii="Century" w:hAnsi="Century" w:cs="Arial"/>
                <w:b/>
                <w:bCs/>
                <w:color w:val="000000"/>
                <w:kern w:val="0"/>
                <w:sz w:val="20"/>
                <w:szCs w:val="20"/>
              </w:rPr>
              <w:t>.Q1</w:t>
            </w:r>
          </w:p>
        </w:tc>
        <w:tc>
          <w:tcPr>
            <w:tcW w:w="946" w:type="dxa"/>
            <w:tcBorders>
              <w:top w:val="single" w:sz="6" w:space="0" w:color="000000"/>
              <w:left w:val="nil"/>
              <w:bottom w:val="single" w:sz="6" w:space="0" w:color="000000"/>
              <w:right w:val="nil"/>
            </w:tcBorders>
          </w:tcPr>
          <w:p w14:paraId="3E6A7692" w14:textId="3E9CF814" w:rsidR="00517566" w:rsidRPr="00C74F0E" w:rsidRDefault="00AD30B9">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20</w:t>
            </w:r>
            <w:r w:rsidR="00517566" w:rsidRPr="00C74F0E">
              <w:rPr>
                <w:rFonts w:ascii="Century" w:hAnsi="Century" w:cs="Arial"/>
                <w:b/>
                <w:bCs/>
                <w:color w:val="000000"/>
                <w:kern w:val="0"/>
                <w:sz w:val="20"/>
                <w:szCs w:val="20"/>
              </w:rPr>
              <w:t>.Q2</w:t>
            </w:r>
          </w:p>
        </w:tc>
        <w:tc>
          <w:tcPr>
            <w:tcW w:w="945" w:type="dxa"/>
            <w:tcBorders>
              <w:top w:val="single" w:sz="6" w:space="0" w:color="000000"/>
              <w:left w:val="nil"/>
              <w:bottom w:val="single" w:sz="6" w:space="0" w:color="000000"/>
              <w:right w:val="nil"/>
            </w:tcBorders>
          </w:tcPr>
          <w:p w14:paraId="1553821A" w14:textId="0CBCDE33" w:rsidR="00517566" w:rsidRPr="00C74F0E" w:rsidRDefault="00AD30B9">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20</w:t>
            </w:r>
            <w:r w:rsidR="00517566" w:rsidRPr="00C74F0E">
              <w:rPr>
                <w:rFonts w:ascii="Century" w:hAnsi="Century" w:cs="Arial"/>
                <w:b/>
                <w:bCs/>
                <w:color w:val="000000"/>
                <w:kern w:val="0"/>
                <w:sz w:val="20"/>
                <w:szCs w:val="20"/>
              </w:rPr>
              <w:t>.Q3</w:t>
            </w:r>
          </w:p>
        </w:tc>
        <w:tc>
          <w:tcPr>
            <w:tcW w:w="946" w:type="dxa"/>
            <w:tcBorders>
              <w:top w:val="single" w:sz="6" w:space="0" w:color="000000"/>
              <w:left w:val="nil"/>
              <w:bottom w:val="single" w:sz="6" w:space="0" w:color="000000"/>
              <w:right w:val="nil"/>
            </w:tcBorders>
          </w:tcPr>
          <w:p w14:paraId="3FB2E8BA" w14:textId="353C2CB3" w:rsidR="00517566" w:rsidRPr="00C74F0E" w:rsidRDefault="00AD30B9">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20</w:t>
            </w:r>
            <w:r w:rsidR="00517566" w:rsidRPr="00C74F0E">
              <w:rPr>
                <w:rFonts w:ascii="Century" w:hAnsi="Century" w:cs="Arial"/>
                <w:b/>
                <w:bCs/>
                <w:color w:val="000000"/>
                <w:kern w:val="0"/>
                <w:sz w:val="20"/>
                <w:szCs w:val="20"/>
              </w:rPr>
              <w:t>.Q4</w:t>
            </w:r>
          </w:p>
        </w:tc>
        <w:tc>
          <w:tcPr>
            <w:tcW w:w="945" w:type="dxa"/>
            <w:tcBorders>
              <w:top w:val="single" w:sz="6" w:space="0" w:color="000000"/>
              <w:left w:val="nil"/>
              <w:bottom w:val="single" w:sz="6" w:space="0" w:color="000000"/>
              <w:right w:val="nil"/>
            </w:tcBorders>
          </w:tcPr>
          <w:p w14:paraId="4D96F3C6" w14:textId="48F32E2F" w:rsidR="00517566" w:rsidRPr="00C74F0E" w:rsidRDefault="00517566">
            <w:pPr>
              <w:autoSpaceDE w:val="0"/>
              <w:autoSpaceDN w:val="0"/>
              <w:adjustRightInd w:val="0"/>
              <w:jc w:val="center"/>
              <w:rPr>
                <w:rFonts w:ascii="Century" w:hAnsi="Century" w:cs="Arial"/>
                <w:b/>
                <w:bCs/>
                <w:color w:val="000000"/>
                <w:kern w:val="0"/>
                <w:sz w:val="20"/>
                <w:szCs w:val="20"/>
              </w:rPr>
            </w:pPr>
            <w:r w:rsidRPr="00C74F0E">
              <w:rPr>
                <w:rFonts w:ascii="Century" w:hAnsi="Century" w:cs="Arial"/>
                <w:b/>
                <w:bCs/>
                <w:color w:val="000000"/>
                <w:kern w:val="0"/>
                <w:sz w:val="20"/>
                <w:szCs w:val="20"/>
              </w:rPr>
              <w:t>2</w:t>
            </w:r>
            <w:r w:rsidR="00AD30B9" w:rsidRPr="00C74F0E">
              <w:rPr>
                <w:rFonts w:ascii="Century" w:hAnsi="Century" w:cs="Arial"/>
                <w:b/>
                <w:bCs/>
                <w:color w:val="000000"/>
                <w:kern w:val="0"/>
                <w:sz w:val="20"/>
                <w:szCs w:val="20"/>
              </w:rPr>
              <w:t>1</w:t>
            </w:r>
            <w:r w:rsidRPr="00C74F0E">
              <w:rPr>
                <w:rFonts w:ascii="Century" w:hAnsi="Century" w:cs="Arial"/>
                <w:b/>
                <w:bCs/>
                <w:color w:val="000000"/>
                <w:kern w:val="0"/>
                <w:sz w:val="20"/>
                <w:szCs w:val="20"/>
              </w:rPr>
              <w:t>.Q1</w:t>
            </w:r>
          </w:p>
        </w:tc>
      </w:tr>
      <w:tr w:rsidR="00517566" w14:paraId="4B7C844F" w14:textId="77777777" w:rsidTr="00517566">
        <w:trPr>
          <w:trHeight w:val="319"/>
        </w:trPr>
        <w:tc>
          <w:tcPr>
            <w:tcW w:w="2933" w:type="dxa"/>
            <w:tcBorders>
              <w:top w:val="nil"/>
              <w:left w:val="nil"/>
              <w:bottom w:val="nil"/>
              <w:right w:val="nil"/>
            </w:tcBorders>
          </w:tcPr>
          <w:p w14:paraId="71B6E536" w14:textId="77777777" w:rsidR="00517566" w:rsidRDefault="00517566">
            <w:pPr>
              <w:autoSpaceDE w:val="0"/>
              <w:autoSpaceDN w:val="0"/>
              <w:adjustRightInd w:val="0"/>
              <w:jc w:val="left"/>
              <w:rPr>
                <w:rFonts w:ascii="游明朝" w:eastAsia="游明朝" w:hAnsi="Arial" w:cs="游明朝"/>
                <w:color w:val="000000"/>
                <w:kern w:val="0"/>
                <w:sz w:val="20"/>
                <w:szCs w:val="20"/>
              </w:rPr>
            </w:pPr>
            <w:r>
              <w:rPr>
                <w:rFonts w:ascii="游明朝" w:eastAsia="游明朝" w:hAnsi="Arial" w:cs="游明朝" w:hint="eastAsia"/>
                <w:color w:val="000000"/>
                <w:kern w:val="0"/>
                <w:sz w:val="20"/>
                <w:szCs w:val="20"/>
              </w:rPr>
              <w:t>損益計算書</w:t>
            </w:r>
          </w:p>
        </w:tc>
        <w:tc>
          <w:tcPr>
            <w:tcW w:w="945" w:type="dxa"/>
            <w:tcBorders>
              <w:top w:val="nil"/>
              <w:left w:val="nil"/>
              <w:bottom w:val="nil"/>
              <w:right w:val="nil"/>
            </w:tcBorders>
          </w:tcPr>
          <w:p w14:paraId="108445C0" w14:textId="77777777" w:rsidR="00517566" w:rsidRPr="00C74F0E" w:rsidRDefault="00517566">
            <w:pPr>
              <w:autoSpaceDE w:val="0"/>
              <w:autoSpaceDN w:val="0"/>
              <w:adjustRightInd w:val="0"/>
              <w:jc w:val="right"/>
              <w:rPr>
                <w:rFonts w:ascii="Century" w:eastAsia="游明朝" w:hAnsi="Century" w:cs="Arial"/>
                <w:color w:val="000000"/>
                <w:kern w:val="0"/>
                <w:sz w:val="20"/>
                <w:szCs w:val="20"/>
              </w:rPr>
            </w:pPr>
          </w:p>
        </w:tc>
        <w:tc>
          <w:tcPr>
            <w:tcW w:w="946" w:type="dxa"/>
            <w:tcBorders>
              <w:top w:val="nil"/>
              <w:left w:val="nil"/>
              <w:bottom w:val="nil"/>
              <w:right w:val="nil"/>
            </w:tcBorders>
          </w:tcPr>
          <w:p w14:paraId="3D74976A" w14:textId="77777777" w:rsidR="00517566" w:rsidRPr="00C74F0E" w:rsidRDefault="00517566">
            <w:pPr>
              <w:autoSpaceDE w:val="0"/>
              <w:autoSpaceDN w:val="0"/>
              <w:adjustRightInd w:val="0"/>
              <w:jc w:val="right"/>
              <w:rPr>
                <w:rFonts w:ascii="Century" w:eastAsia="游明朝" w:hAnsi="Century" w:cs="Arial"/>
                <w:color w:val="000000"/>
                <w:kern w:val="0"/>
                <w:sz w:val="20"/>
                <w:szCs w:val="20"/>
              </w:rPr>
            </w:pPr>
          </w:p>
        </w:tc>
        <w:tc>
          <w:tcPr>
            <w:tcW w:w="946" w:type="dxa"/>
            <w:tcBorders>
              <w:top w:val="nil"/>
              <w:left w:val="nil"/>
              <w:bottom w:val="nil"/>
              <w:right w:val="nil"/>
            </w:tcBorders>
          </w:tcPr>
          <w:p w14:paraId="3CE18DFB" w14:textId="77777777" w:rsidR="00517566" w:rsidRPr="00C74F0E" w:rsidRDefault="00517566">
            <w:pPr>
              <w:autoSpaceDE w:val="0"/>
              <w:autoSpaceDN w:val="0"/>
              <w:adjustRightInd w:val="0"/>
              <w:jc w:val="right"/>
              <w:rPr>
                <w:rFonts w:ascii="Century" w:eastAsia="游明朝" w:hAnsi="Century" w:cs="Arial"/>
                <w:color w:val="000000"/>
                <w:kern w:val="0"/>
                <w:sz w:val="20"/>
                <w:szCs w:val="20"/>
              </w:rPr>
            </w:pPr>
          </w:p>
        </w:tc>
        <w:tc>
          <w:tcPr>
            <w:tcW w:w="945" w:type="dxa"/>
            <w:tcBorders>
              <w:top w:val="nil"/>
              <w:left w:val="nil"/>
              <w:bottom w:val="nil"/>
              <w:right w:val="nil"/>
            </w:tcBorders>
          </w:tcPr>
          <w:p w14:paraId="3410B32C" w14:textId="77777777" w:rsidR="00517566" w:rsidRPr="00C74F0E" w:rsidRDefault="00517566">
            <w:pPr>
              <w:autoSpaceDE w:val="0"/>
              <w:autoSpaceDN w:val="0"/>
              <w:adjustRightInd w:val="0"/>
              <w:jc w:val="right"/>
              <w:rPr>
                <w:rFonts w:ascii="Century" w:eastAsia="游明朝" w:hAnsi="Century" w:cs="Arial"/>
                <w:color w:val="000000"/>
                <w:kern w:val="0"/>
                <w:sz w:val="20"/>
                <w:szCs w:val="20"/>
              </w:rPr>
            </w:pPr>
          </w:p>
        </w:tc>
        <w:tc>
          <w:tcPr>
            <w:tcW w:w="946" w:type="dxa"/>
            <w:tcBorders>
              <w:top w:val="nil"/>
              <w:left w:val="nil"/>
              <w:bottom w:val="nil"/>
              <w:right w:val="nil"/>
            </w:tcBorders>
          </w:tcPr>
          <w:p w14:paraId="7FB6626B" w14:textId="77777777" w:rsidR="00517566" w:rsidRPr="00C74F0E" w:rsidRDefault="00517566">
            <w:pPr>
              <w:autoSpaceDE w:val="0"/>
              <w:autoSpaceDN w:val="0"/>
              <w:adjustRightInd w:val="0"/>
              <w:jc w:val="right"/>
              <w:rPr>
                <w:rFonts w:ascii="Century" w:eastAsia="游明朝" w:hAnsi="Century" w:cs="Arial"/>
                <w:color w:val="000000"/>
                <w:kern w:val="0"/>
                <w:sz w:val="20"/>
                <w:szCs w:val="20"/>
              </w:rPr>
            </w:pPr>
          </w:p>
        </w:tc>
        <w:tc>
          <w:tcPr>
            <w:tcW w:w="945" w:type="dxa"/>
            <w:tcBorders>
              <w:top w:val="nil"/>
              <w:left w:val="nil"/>
              <w:bottom w:val="nil"/>
              <w:right w:val="nil"/>
            </w:tcBorders>
          </w:tcPr>
          <w:p w14:paraId="12EA8EFF" w14:textId="77777777" w:rsidR="00517566" w:rsidRPr="00C74F0E" w:rsidRDefault="00517566">
            <w:pPr>
              <w:autoSpaceDE w:val="0"/>
              <w:autoSpaceDN w:val="0"/>
              <w:adjustRightInd w:val="0"/>
              <w:jc w:val="right"/>
              <w:rPr>
                <w:rFonts w:ascii="Century" w:eastAsia="游明朝" w:hAnsi="Century" w:cs="Arial"/>
                <w:color w:val="000000"/>
                <w:kern w:val="0"/>
                <w:sz w:val="20"/>
                <w:szCs w:val="20"/>
              </w:rPr>
            </w:pPr>
          </w:p>
        </w:tc>
      </w:tr>
      <w:tr w:rsidR="00517566" w14:paraId="47B9599F" w14:textId="77777777" w:rsidTr="00517566">
        <w:trPr>
          <w:trHeight w:val="319"/>
        </w:trPr>
        <w:tc>
          <w:tcPr>
            <w:tcW w:w="2933" w:type="dxa"/>
            <w:tcBorders>
              <w:top w:val="nil"/>
              <w:left w:val="nil"/>
              <w:bottom w:val="nil"/>
              <w:right w:val="nil"/>
            </w:tcBorders>
          </w:tcPr>
          <w:p w14:paraId="02ECA2F8" w14:textId="77777777" w:rsidR="00517566" w:rsidRDefault="00517566">
            <w:pPr>
              <w:autoSpaceDE w:val="0"/>
              <w:autoSpaceDN w:val="0"/>
              <w:adjustRightInd w:val="0"/>
              <w:jc w:val="left"/>
              <w:rPr>
                <w:rFonts w:ascii="游明朝" w:eastAsia="游明朝" w:hAnsi="Arial" w:cs="游明朝"/>
                <w:color w:val="000000"/>
                <w:kern w:val="0"/>
                <w:sz w:val="20"/>
                <w:szCs w:val="20"/>
              </w:rPr>
            </w:pPr>
            <w:r>
              <w:rPr>
                <w:rFonts w:ascii="游明朝" w:eastAsia="游明朝" w:hAnsi="Arial" w:cs="游明朝" w:hint="eastAsia"/>
                <w:color w:val="000000"/>
                <w:kern w:val="0"/>
                <w:sz w:val="20"/>
                <w:szCs w:val="20"/>
              </w:rPr>
              <w:t>売上高</w:t>
            </w:r>
          </w:p>
        </w:tc>
        <w:tc>
          <w:tcPr>
            <w:tcW w:w="945" w:type="dxa"/>
            <w:tcBorders>
              <w:top w:val="nil"/>
              <w:left w:val="nil"/>
              <w:bottom w:val="nil"/>
              <w:right w:val="nil"/>
            </w:tcBorders>
          </w:tcPr>
          <w:p w14:paraId="4B34B685"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6,439 </w:t>
            </w:r>
          </w:p>
        </w:tc>
        <w:tc>
          <w:tcPr>
            <w:tcW w:w="946" w:type="dxa"/>
            <w:tcBorders>
              <w:top w:val="nil"/>
              <w:left w:val="nil"/>
              <w:bottom w:val="nil"/>
              <w:right w:val="nil"/>
            </w:tcBorders>
          </w:tcPr>
          <w:p w14:paraId="404AEF86"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5,128 </w:t>
            </w:r>
          </w:p>
        </w:tc>
        <w:tc>
          <w:tcPr>
            <w:tcW w:w="946" w:type="dxa"/>
            <w:tcBorders>
              <w:top w:val="nil"/>
              <w:left w:val="nil"/>
              <w:bottom w:val="nil"/>
              <w:right w:val="nil"/>
            </w:tcBorders>
          </w:tcPr>
          <w:p w14:paraId="15D3C50B"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5,420 </w:t>
            </w:r>
          </w:p>
        </w:tc>
        <w:tc>
          <w:tcPr>
            <w:tcW w:w="945" w:type="dxa"/>
            <w:tcBorders>
              <w:top w:val="nil"/>
              <w:left w:val="nil"/>
              <w:bottom w:val="nil"/>
              <w:right w:val="nil"/>
            </w:tcBorders>
          </w:tcPr>
          <w:p w14:paraId="783AF6E8"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5,451 </w:t>
            </w:r>
          </w:p>
        </w:tc>
        <w:tc>
          <w:tcPr>
            <w:tcW w:w="946" w:type="dxa"/>
            <w:tcBorders>
              <w:top w:val="nil"/>
              <w:left w:val="nil"/>
              <w:bottom w:val="nil"/>
              <w:right w:val="nil"/>
            </w:tcBorders>
          </w:tcPr>
          <w:p w14:paraId="091F202A"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6,240 </w:t>
            </w:r>
          </w:p>
        </w:tc>
        <w:tc>
          <w:tcPr>
            <w:tcW w:w="945" w:type="dxa"/>
            <w:tcBorders>
              <w:top w:val="nil"/>
              <w:left w:val="nil"/>
              <w:bottom w:val="nil"/>
              <w:right w:val="nil"/>
            </w:tcBorders>
          </w:tcPr>
          <w:p w14:paraId="0A21A4BB"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3,092 </w:t>
            </w:r>
          </w:p>
        </w:tc>
      </w:tr>
      <w:tr w:rsidR="00517566" w14:paraId="0D2D33E1" w14:textId="77777777" w:rsidTr="00517566">
        <w:trPr>
          <w:trHeight w:val="319"/>
        </w:trPr>
        <w:tc>
          <w:tcPr>
            <w:tcW w:w="2933" w:type="dxa"/>
            <w:tcBorders>
              <w:top w:val="nil"/>
              <w:left w:val="nil"/>
              <w:bottom w:val="nil"/>
              <w:right w:val="nil"/>
            </w:tcBorders>
          </w:tcPr>
          <w:p w14:paraId="2CB011BD" w14:textId="77777777" w:rsidR="00517566" w:rsidRDefault="00517566">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 xml:space="preserve">　売上原価</w:t>
            </w:r>
          </w:p>
        </w:tc>
        <w:tc>
          <w:tcPr>
            <w:tcW w:w="945" w:type="dxa"/>
            <w:tcBorders>
              <w:top w:val="nil"/>
              <w:left w:val="nil"/>
              <w:bottom w:val="nil"/>
              <w:right w:val="nil"/>
            </w:tcBorders>
          </w:tcPr>
          <w:p w14:paraId="79A5457D" w14:textId="77777777" w:rsidR="00517566" w:rsidRPr="00C74F0E" w:rsidRDefault="00517566">
            <w:pPr>
              <w:autoSpaceDE w:val="0"/>
              <w:autoSpaceDN w:val="0"/>
              <w:adjustRightInd w:val="0"/>
              <w:jc w:val="right"/>
              <w:rPr>
                <w:rFonts w:ascii="Century" w:eastAsia="游明朝" w:hAnsi="Century" w:cs="Calibri"/>
                <w:color w:val="FF0000"/>
                <w:kern w:val="0"/>
                <w:sz w:val="20"/>
                <w:szCs w:val="20"/>
              </w:rPr>
            </w:pPr>
            <w:r w:rsidRPr="00C74F0E">
              <w:rPr>
                <w:rFonts w:ascii="Century" w:eastAsia="游明朝" w:hAnsi="Century" w:cs="Calibri"/>
                <w:color w:val="FF0000"/>
                <w:kern w:val="0"/>
                <w:sz w:val="20"/>
                <w:szCs w:val="20"/>
              </w:rPr>
              <w:t xml:space="preserve">4,288 </w:t>
            </w:r>
          </w:p>
        </w:tc>
        <w:tc>
          <w:tcPr>
            <w:tcW w:w="946" w:type="dxa"/>
            <w:tcBorders>
              <w:top w:val="nil"/>
              <w:left w:val="nil"/>
              <w:bottom w:val="nil"/>
              <w:right w:val="nil"/>
            </w:tcBorders>
          </w:tcPr>
          <w:p w14:paraId="5467D7B3" w14:textId="77777777" w:rsidR="00517566" w:rsidRPr="00C74F0E" w:rsidRDefault="00517566">
            <w:pPr>
              <w:autoSpaceDE w:val="0"/>
              <w:autoSpaceDN w:val="0"/>
              <w:adjustRightInd w:val="0"/>
              <w:jc w:val="right"/>
              <w:rPr>
                <w:rFonts w:ascii="Century" w:eastAsia="游明朝" w:hAnsi="Century" w:cs="Calibri"/>
                <w:color w:val="FF0000"/>
                <w:kern w:val="0"/>
                <w:sz w:val="20"/>
                <w:szCs w:val="20"/>
              </w:rPr>
            </w:pPr>
            <w:r w:rsidRPr="00C74F0E">
              <w:rPr>
                <w:rFonts w:ascii="Century" w:eastAsia="游明朝" w:hAnsi="Century" w:cs="Calibri"/>
                <w:color w:val="FF0000"/>
                <w:kern w:val="0"/>
                <w:sz w:val="20"/>
                <w:szCs w:val="20"/>
              </w:rPr>
              <w:t xml:space="preserve">-3,853 </w:t>
            </w:r>
          </w:p>
        </w:tc>
        <w:tc>
          <w:tcPr>
            <w:tcW w:w="946" w:type="dxa"/>
            <w:tcBorders>
              <w:top w:val="nil"/>
              <w:left w:val="nil"/>
              <w:bottom w:val="nil"/>
              <w:right w:val="nil"/>
            </w:tcBorders>
          </w:tcPr>
          <w:p w14:paraId="2ECAE1A5" w14:textId="77777777" w:rsidR="00517566" w:rsidRPr="00C74F0E" w:rsidRDefault="00517566">
            <w:pPr>
              <w:autoSpaceDE w:val="0"/>
              <w:autoSpaceDN w:val="0"/>
              <w:adjustRightInd w:val="0"/>
              <w:jc w:val="right"/>
              <w:rPr>
                <w:rFonts w:ascii="Century" w:eastAsia="游明朝" w:hAnsi="Century" w:cs="Calibri"/>
                <w:color w:val="FF0000"/>
                <w:kern w:val="0"/>
                <w:sz w:val="20"/>
                <w:szCs w:val="20"/>
              </w:rPr>
            </w:pPr>
            <w:r w:rsidRPr="00C74F0E">
              <w:rPr>
                <w:rFonts w:ascii="Century" w:eastAsia="游明朝" w:hAnsi="Century" w:cs="Calibri"/>
                <w:color w:val="FF0000"/>
                <w:kern w:val="0"/>
                <w:sz w:val="20"/>
                <w:szCs w:val="20"/>
              </w:rPr>
              <w:t xml:space="preserve">-4,086 </w:t>
            </w:r>
          </w:p>
        </w:tc>
        <w:tc>
          <w:tcPr>
            <w:tcW w:w="945" w:type="dxa"/>
            <w:tcBorders>
              <w:top w:val="nil"/>
              <w:left w:val="nil"/>
              <w:bottom w:val="nil"/>
              <w:right w:val="nil"/>
            </w:tcBorders>
          </w:tcPr>
          <w:p w14:paraId="383F34D5" w14:textId="77777777" w:rsidR="00517566" w:rsidRPr="00C74F0E" w:rsidRDefault="00517566">
            <w:pPr>
              <w:autoSpaceDE w:val="0"/>
              <w:autoSpaceDN w:val="0"/>
              <w:adjustRightInd w:val="0"/>
              <w:jc w:val="right"/>
              <w:rPr>
                <w:rFonts w:ascii="Century" w:eastAsia="游明朝" w:hAnsi="Century" w:cs="Calibri"/>
                <w:color w:val="FF0000"/>
                <w:kern w:val="0"/>
                <w:sz w:val="20"/>
                <w:szCs w:val="20"/>
              </w:rPr>
            </w:pPr>
            <w:r w:rsidRPr="00C74F0E">
              <w:rPr>
                <w:rFonts w:ascii="Century" w:eastAsia="游明朝" w:hAnsi="Century" w:cs="Calibri"/>
                <w:color w:val="FF0000"/>
                <w:kern w:val="0"/>
                <w:sz w:val="20"/>
                <w:szCs w:val="20"/>
              </w:rPr>
              <w:t xml:space="preserve">-4,520 </w:t>
            </w:r>
          </w:p>
        </w:tc>
        <w:tc>
          <w:tcPr>
            <w:tcW w:w="946" w:type="dxa"/>
            <w:tcBorders>
              <w:top w:val="nil"/>
              <w:left w:val="nil"/>
              <w:bottom w:val="nil"/>
              <w:right w:val="nil"/>
            </w:tcBorders>
          </w:tcPr>
          <w:p w14:paraId="6BDAAA90" w14:textId="77777777" w:rsidR="00517566" w:rsidRPr="00C74F0E" w:rsidRDefault="00517566">
            <w:pPr>
              <w:autoSpaceDE w:val="0"/>
              <w:autoSpaceDN w:val="0"/>
              <w:adjustRightInd w:val="0"/>
              <w:jc w:val="right"/>
              <w:rPr>
                <w:rFonts w:ascii="Century" w:eastAsia="游明朝" w:hAnsi="Century" w:cs="Calibri"/>
                <w:color w:val="FF0000"/>
                <w:kern w:val="0"/>
                <w:sz w:val="20"/>
                <w:szCs w:val="20"/>
              </w:rPr>
            </w:pPr>
            <w:r w:rsidRPr="00C74F0E">
              <w:rPr>
                <w:rFonts w:ascii="Century" w:eastAsia="游明朝" w:hAnsi="Century" w:cs="Calibri"/>
                <w:color w:val="FF0000"/>
                <w:kern w:val="0"/>
                <w:sz w:val="20"/>
                <w:szCs w:val="20"/>
              </w:rPr>
              <w:t xml:space="preserve">-4,501 </w:t>
            </w:r>
          </w:p>
        </w:tc>
        <w:tc>
          <w:tcPr>
            <w:tcW w:w="945" w:type="dxa"/>
            <w:tcBorders>
              <w:top w:val="nil"/>
              <w:left w:val="nil"/>
              <w:bottom w:val="nil"/>
              <w:right w:val="nil"/>
            </w:tcBorders>
          </w:tcPr>
          <w:p w14:paraId="3ECE58B0" w14:textId="77777777" w:rsidR="00517566" w:rsidRPr="00C74F0E" w:rsidRDefault="00517566">
            <w:pPr>
              <w:autoSpaceDE w:val="0"/>
              <w:autoSpaceDN w:val="0"/>
              <w:adjustRightInd w:val="0"/>
              <w:jc w:val="right"/>
              <w:rPr>
                <w:rFonts w:ascii="Century" w:eastAsia="游明朝" w:hAnsi="Century" w:cs="Calibri"/>
                <w:color w:val="FF0000"/>
                <w:kern w:val="0"/>
                <w:sz w:val="20"/>
                <w:szCs w:val="20"/>
              </w:rPr>
            </w:pPr>
            <w:r w:rsidRPr="00C74F0E">
              <w:rPr>
                <w:rFonts w:ascii="Century" w:eastAsia="游明朝" w:hAnsi="Century" w:cs="Calibri"/>
                <w:color w:val="FF0000"/>
                <w:kern w:val="0"/>
                <w:sz w:val="20"/>
                <w:szCs w:val="20"/>
              </w:rPr>
              <w:t xml:space="preserve">-2,126 </w:t>
            </w:r>
          </w:p>
        </w:tc>
      </w:tr>
      <w:tr w:rsidR="00517566" w14:paraId="6ACF1CEA" w14:textId="77777777" w:rsidTr="00517566">
        <w:trPr>
          <w:trHeight w:val="319"/>
        </w:trPr>
        <w:tc>
          <w:tcPr>
            <w:tcW w:w="2933" w:type="dxa"/>
            <w:tcBorders>
              <w:top w:val="nil"/>
              <w:left w:val="nil"/>
              <w:bottom w:val="nil"/>
              <w:right w:val="nil"/>
            </w:tcBorders>
          </w:tcPr>
          <w:p w14:paraId="1A2BED59" w14:textId="77777777" w:rsidR="00517566" w:rsidRDefault="00517566">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売上総利益</w:t>
            </w:r>
          </w:p>
        </w:tc>
        <w:tc>
          <w:tcPr>
            <w:tcW w:w="945" w:type="dxa"/>
            <w:tcBorders>
              <w:top w:val="nil"/>
              <w:left w:val="nil"/>
              <w:bottom w:val="nil"/>
              <w:right w:val="nil"/>
            </w:tcBorders>
          </w:tcPr>
          <w:p w14:paraId="223D2210"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2,151 </w:t>
            </w:r>
          </w:p>
        </w:tc>
        <w:tc>
          <w:tcPr>
            <w:tcW w:w="946" w:type="dxa"/>
            <w:tcBorders>
              <w:top w:val="nil"/>
              <w:left w:val="nil"/>
              <w:bottom w:val="nil"/>
              <w:right w:val="nil"/>
            </w:tcBorders>
          </w:tcPr>
          <w:p w14:paraId="1E50722B"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1,275 </w:t>
            </w:r>
          </w:p>
        </w:tc>
        <w:tc>
          <w:tcPr>
            <w:tcW w:w="946" w:type="dxa"/>
            <w:tcBorders>
              <w:top w:val="nil"/>
              <w:left w:val="nil"/>
              <w:bottom w:val="nil"/>
              <w:right w:val="nil"/>
            </w:tcBorders>
          </w:tcPr>
          <w:p w14:paraId="0F38917F"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1,334 </w:t>
            </w:r>
          </w:p>
        </w:tc>
        <w:tc>
          <w:tcPr>
            <w:tcW w:w="945" w:type="dxa"/>
            <w:tcBorders>
              <w:top w:val="nil"/>
              <w:left w:val="nil"/>
              <w:bottom w:val="nil"/>
              <w:right w:val="nil"/>
            </w:tcBorders>
          </w:tcPr>
          <w:p w14:paraId="08327F9F"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931 </w:t>
            </w:r>
          </w:p>
        </w:tc>
        <w:tc>
          <w:tcPr>
            <w:tcW w:w="946" w:type="dxa"/>
            <w:tcBorders>
              <w:top w:val="nil"/>
              <w:left w:val="nil"/>
              <w:bottom w:val="nil"/>
              <w:right w:val="nil"/>
            </w:tcBorders>
          </w:tcPr>
          <w:p w14:paraId="14569902"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1,739 </w:t>
            </w:r>
          </w:p>
        </w:tc>
        <w:tc>
          <w:tcPr>
            <w:tcW w:w="945" w:type="dxa"/>
            <w:tcBorders>
              <w:top w:val="nil"/>
              <w:left w:val="nil"/>
              <w:bottom w:val="nil"/>
              <w:right w:val="nil"/>
            </w:tcBorders>
          </w:tcPr>
          <w:p w14:paraId="59389593"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965 </w:t>
            </w:r>
          </w:p>
        </w:tc>
      </w:tr>
      <w:tr w:rsidR="00517566" w14:paraId="6852DDF4" w14:textId="77777777" w:rsidTr="00517566">
        <w:trPr>
          <w:trHeight w:val="319"/>
        </w:trPr>
        <w:tc>
          <w:tcPr>
            <w:tcW w:w="2933" w:type="dxa"/>
            <w:tcBorders>
              <w:top w:val="nil"/>
              <w:left w:val="nil"/>
              <w:bottom w:val="nil"/>
              <w:right w:val="nil"/>
            </w:tcBorders>
          </w:tcPr>
          <w:p w14:paraId="26952828" w14:textId="77777777" w:rsidR="00517566" w:rsidRDefault="00517566">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 xml:space="preserve">　販管費</w:t>
            </w:r>
          </w:p>
        </w:tc>
        <w:tc>
          <w:tcPr>
            <w:tcW w:w="945" w:type="dxa"/>
            <w:tcBorders>
              <w:top w:val="nil"/>
              <w:left w:val="nil"/>
              <w:bottom w:val="nil"/>
              <w:right w:val="nil"/>
            </w:tcBorders>
          </w:tcPr>
          <w:p w14:paraId="433256C8" w14:textId="77777777" w:rsidR="00517566" w:rsidRPr="00C74F0E" w:rsidRDefault="00517566">
            <w:pPr>
              <w:autoSpaceDE w:val="0"/>
              <w:autoSpaceDN w:val="0"/>
              <w:adjustRightInd w:val="0"/>
              <w:jc w:val="right"/>
              <w:rPr>
                <w:rFonts w:ascii="Century" w:eastAsia="游明朝" w:hAnsi="Century" w:cs="Calibri"/>
                <w:color w:val="FF0000"/>
                <w:kern w:val="0"/>
                <w:sz w:val="20"/>
                <w:szCs w:val="20"/>
              </w:rPr>
            </w:pPr>
            <w:r w:rsidRPr="00C74F0E">
              <w:rPr>
                <w:rFonts w:ascii="Century" w:eastAsia="游明朝" w:hAnsi="Century" w:cs="Calibri"/>
                <w:color w:val="FF0000"/>
                <w:kern w:val="0"/>
                <w:sz w:val="20"/>
                <w:szCs w:val="20"/>
              </w:rPr>
              <w:t xml:space="preserve">-542 </w:t>
            </w:r>
          </w:p>
        </w:tc>
        <w:tc>
          <w:tcPr>
            <w:tcW w:w="946" w:type="dxa"/>
            <w:tcBorders>
              <w:top w:val="nil"/>
              <w:left w:val="nil"/>
              <w:bottom w:val="nil"/>
              <w:right w:val="nil"/>
            </w:tcBorders>
          </w:tcPr>
          <w:p w14:paraId="7D37FEBC" w14:textId="77777777" w:rsidR="00517566" w:rsidRPr="00C74F0E" w:rsidRDefault="00517566">
            <w:pPr>
              <w:autoSpaceDE w:val="0"/>
              <w:autoSpaceDN w:val="0"/>
              <w:adjustRightInd w:val="0"/>
              <w:jc w:val="right"/>
              <w:rPr>
                <w:rFonts w:ascii="Century" w:eastAsia="游明朝" w:hAnsi="Century" w:cs="Calibri"/>
                <w:color w:val="FF0000"/>
                <w:kern w:val="0"/>
                <w:sz w:val="20"/>
                <w:szCs w:val="20"/>
              </w:rPr>
            </w:pPr>
            <w:r w:rsidRPr="00C74F0E">
              <w:rPr>
                <w:rFonts w:ascii="Century" w:eastAsia="游明朝" w:hAnsi="Century" w:cs="Calibri"/>
                <w:color w:val="FF0000"/>
                <w:kern w:val="0"/>
                <w:sz w:val="20"/>
                <w:szCs w:val="20"/>
              </w:rPr>
              <w:t xml:space="preserve">-518 </w:t>
            </w:r>
          </w:p>
        </w:tc>
        <w:tc>
          <w:tcPr>
            <w:tcW w:w="946" w:type="dxa"/>
            <w:tcBorders>
              <w:top w:val="nil"/>
              <w:left w:val="nil"/>
              <w:bottom w:val="nil"/>
              <w:right w:val="nil"/>
            </w:tcBorders>
          </w:tcPr>
          <w:p w14:paraId="68346875" w14:textId="77777777" w:rsidR="00517566" w:rsidRPr="00C74F0E" w:rsidRDefault="00517566">
            <w:pPr>
              <w:autoSpaceDE w:val="0"/>
              <w:autoSpaceDN w:val="0"/>
              <w:adjustRightInd w:val="0"/>
              <w:jc w:val="right"/>
              <w:rPr>
                <w:rFonts w:ascii="Century" w:eastAsia="游明朝" w:hAnsi="Century" w:cs="Calibri"/>
                <w:color w:val="FF0000"/>
                <w:kern w:val="0"/>
                <w:sz w:val="20"/>
                <w:szCs w:val="20"/>
              </w:rPr>
            </w:pPr>
            <w:r w:rsidRPr="00C74F0E">
              <w:rPr>
                <w:rFonts w:ascii="Century" w:eastAsia="游明朝" w:hAnsi="Century" w:cs="Calibri"/>
                <w:color w:val="FF0000"/>
                <w:kern w:val="0"/>
                <w:sz w:val="20"/>
                <w:szCs w:val="20"/>
              </w:rPr>
              <w:t xml:space="preserve">-529 </w:t>
            </w:r>
          </w:p>
        </w:tc>
        <w:tc>
          <w:tcPr>
            <w:tcW w:w="945" w:type="dxa"/>
            <w:tcBorders>
              <w:top w:val="nil"/>
              <w:left w:val="nil"/>
              <w:bottom w:val="nil"/>
              <w:right w:val="nil"/>
            </w:tcBorders>
          </w:tcPr>
          <w:p w14:paraId="3D983B94" w14:textId="77777777" w:rsidR="00517566" w:rsidRPr="00C74F0E" w:rsidRDefault="00517566">
            <w:pPr>
              <w:autoSpaceDE w:val="0"/>
              <w:autoSpaceDN w:val="0"/>
              <w:adjustRightInd w:val="0"/>
              <w:jc w:val="right"/>
              <w:rPr>
                <w:rFonts w:ascii="Century" w:eastAsia="游明朝" w:hAnsi="Century" w:cs="Calibri"/>
                <w:color w:val="FF0000"/>
                <w:kern w:val="0"/>
                <w:sz w:val="20"/>
                <w:szCs w:val="20"/>
              </w:rPr>
            </w:pPr>
            <w:r w:rsidRPr="00C74F0E">
              <w:rPr>
                <w:rFonts w:ascii="Century" w:eastAsia="游明朝" w:hAnsi="Century" w:cs="Calibri"/>
                <w:color w:val="FF0000"/>
                <w:kern w:val="0"/>
                <w:sz w:val="20"/>
                <w:szCs w:val="20"/>
              </w:rPr>
              <w:t xml:space="preserve">-529 </w:t>
            </w:r>
          </w:p>
        </w:tc>
        <w:tc>
          <w:tcPr>
            <w:tcW w:w="946" w:type="dxa"/>
            <w:tcBorders>
              <w:top w:val="nil"/>
              <w:left w:val="nil"/>
              <w:bottom w:val="nil"/>
              <w:right w:val="nil"/>
            </w:tcBorders>
          </w:tcPr>
          <w:p w14:paraId="143265E6" w14:textId="77777777" w:rsidR="00517566" w:rsidRPr="00C74F0E" w:rsidRDefault="00517566">
            <w:pPr>
              <w:autoSpaceDE w:val="0"/>
              <w:autoSpaceDN w:val="0"/>
              <w:adjustRightInd w:val="0"/>
              <w:jc w:val="right"/>
              <w:rPr>
                <w:rFonts w:ascii="Century" w:eastAsia="游明朝" w:hAnsi="Century" w:cs="Calibri"/>
                <w:color w:val="FF0000"/>
                <w:kern w:val="0"/>
                <w:sz w:val="20"/>
                <w:szCs w:val="20"/>
              </w:rPr>
            </w:pPr>
            <w:r w:rsidRPr="00C74F0E">
              <w:rPr>
                <w:rFonts w:ascii="Century" w:eastAsia="游明朝" w:hAnsi="Century" w:cs="Calibri"/>
                <w:color w:val="FF0000"/>
                <w:kern w:val="0"/>
                <w:sz w:val="20"/>
                <w:szCs w:val="20"/>
              </w:rPr>
              <w:t xml:space="preserve">-579 </w:t>
            </w:r>
          </w:p>
        </w:tc>
        <w:tc>
          <w:tcPr>
            <w:tcW w:w="945" w:type="dxa"/>
            <w:tcBorders>
              <w:top w:val="nil"/>
              <w:left w:val="nil"/>
              <w:bottom w:val="nil"/>
              <w:right w:val="nil"/>
            </w:tcBorders>
          </w:tcPr>
          <w:p w14:paraId="6C7BE6D1" w14:textId="77777777" w:rsidR="00517566" w:rsidRPr="00C74F0E" w:rsidRDefault="00517566">
            <w:pPr>
              <w:autoSpaceDE w:val="0"/>
              <w:autoSpaceDN w:val="0"/>
              <w:adjustRightInd w:val="0"/>
              <w:jc w:val="right"/>
              <w:rPr>
                <w:rFonts w:ascii="Century" w:eastAsia="游明朝" w:hAnsi="Century" w:cs="Calibri"/>
                <w:color w:val="FF0000"/>
                <w:kern w:val="0"/>
                <w:sz w:val="20"/>
                <w:szCs w:val="20"/>
              </w:rPr>
            </w:pPr>
            <w:r w:rsidRPr="00C74F0E">
              <w:rPr>
                <w:rFonts w:ascii="Century" w:eastAsia="游明朝" w:hAnsi="Century" w:cs="Calibri"/>
                <w:color w:val="FF0000"/>
                <w:kern w:val="0"/>
                <w:sz w:val="20"/>
                <w:szCs w:val="20"/>
              </w:rPr>
              <w:t xml:space="preserve">-453 </w:t>
            </w:r>
          </w:p>
        </w:tc>
      </w:tr>
      <w:tr w:rsidR="00517566" w14:paraId="3557E2E3" w14:textId="77777777" w:rsidTr="00517566">
        <w:trPr>
          <w:trHeight w:val="319"/>
        </w:trPr>
        <w:tc>
          <w:tcPr>
            <w:tcW w:w="2933" w:type="dxa"/>
            <w:tcBorders>
              <w:top w:val="nil"/>
              <w:left w:val="nil"/>
              <w:bottom w:val="nil"/>
              <w:right w:val="nil"/>
            </w:tcBorders>
          </w:tcPr>
          <w:p w14:paraId="4E19C78F" w14:textId="77777777" w:rsidR="00517566" w:rsidRDefault="00517566">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営業利益</w:t>
            </w:r>
          </w:p>
        </w:tc>
        <w:tc>
          <w:tcPr>
            <w:tcW w:w="945" w:type="dxa"/>
            <w:tcBorders>
              <w:top w:val="nil"/>
              <w:left w:val="nil"/>
              <w:bottom w:val="nil"/>
              <w:right w:val="nil"/>
            </w:tcBorders>
          </w:tcPr>
          <w:p w14:paraId="4E09A4B2"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1,609 </w:t>
            </w:r>
          </w:p>
        </w:tc>
        <w:tc>
          <w:tcPr>
            <w:tcW w:w="946" w:type="dxa"/>
            <w:tcBorders>
              <w:top w:val="nil"/>
              <w:left w:val="nil"/>
              <w:bottom w:val="nil"/>
              <w:right w:val="nil"/>
            </w:tcBorders>
          </w:tcPr>
          <w:p w14:paraId="63002225"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756 </w:t>
            </w:r>
          </w:p>
        </w:tc>
        <w:tc>
          <w:tcPr>
            <w:tcW w:w="946" w:type="dxa"/>
            <w:tcBorders>
              <w:top w:val="nil"/>
              <w:left w:val="nil"/>
              <w:bottom w:val="nil"/>
              <w:right w:val="nil"/>
            </w:tcBorders>
          </w:tcPr>
          <w:p w14:paraId="172ACB59"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805 </w:t>
            </w:r>
          </w:p>
        </w:tc>
        <w:tc>
          <w:tcPr>
            <w:tcW w:w="945" w:type="dxa"/>
            <w:tcBorders>
              <w:top w:val="nil"/>
              <w:left w:val="nil"/>
              <w:bottom w:val="nil"/>
              <w:right w:val="nil"/>
            </w:tcBorders>
          </w:tcPr>
          <w:p w14:paraId="5FC7CA01"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401 </w:t>
            </w:r>
          </w:p>
        </w:tc>
        <w:tc>
          <w:tcPr>
            <w:tcW w:w="946" w:type="dxa"/>
            <w:tcBorders>
              <w:top w:val="nil"/>
              <w:left w:val="nil"/>
              <w:bottom w:val="nil"/>
              <w:right w:val="nil"/>
            </w:tcBorders>
          </w:tcPr>
          <w:p w14:paraId="0E9D7CCE"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1,160 </w:t>
            </w:r>
          </w:p>
        </w:tc>
        <w:tc>
          <w:tcPr>
            <w:tcW w:w="945" w:type="dxa"/>
            <w:tcBorders>
              <w:top w:val="nil"/>
              <w:left w:val="nil"/>
              <w:bottom w:val="nil"/>
              <w:right w:val="nil"/>
            </w:tcBorders>
          </w:tcPr>
          <w:p w14:paraId="4AC9A8A7"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512 </w:t>
            </w:r>
          </w:p>
        </w:tc>
      </w:tr>
      <w:tr w:rsidR="00517566" w14:paraId="167C5B59" w14:textId="77777777" w:rsidTr="00517566">
        <w:trPr>
          <w:trHeight w:val="319"/>
        </w:trPr>
        <w:tc>
          <w:tcPr>
            <w:tcW w:w="2933" w:type="dxa"/>
            <w:tcBorders>
              <w:top w:val="nil"/>
              <w:left w:val="nil"/>
              <w:bottom w:val="nil"/>
              <w:right w:val="nil"/>
            </w:tcBorders>
          </w:tcPr>
          <w:p w14:paraId="07A7FE9A" w14:textId="77777777" w:rsidR="00517566" w:rsidRDefault="00517566">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営業外収益</w:t>
            </w:r>
          </w:p>
        </w:tc>
        <w:tc>
          <w:tcPr>
            <w:tcW w:w="945" w:type="dxa"/>
            <w:tcBorders>
              <w:top w:val="nil"/>
              <w:left w:val="nil"/>
              <w:bottom w:val="nil"/>
              <w:right w:val="nil"/>
            </w:tcBorders>
          </w:tcPr>
          <w:p w14:paraId="52DF0F25"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17 </w:t>
            </w:r>
          </w:p>
        </w:tc>
        <w:tc>
          <w:tcPr>
            <w:tcW w:w="946" w:type="dxa"/>
            <w:tcBorders>
              <w:top w:val="nil"/>
              <w:left w:val="nil"/>
              <w:bottom w:val="nil"/>
              <w:right w:val="nil"/>
            </w:tcBorders>
          </w:tcPr>
          <w:p w14:paraId="5254D6EE"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154 </w:t>
            </w:r>
          </w:p>
        </w:tc>
        <w:tc>
          <w:tcPr>
            <w:tcW w:w="946" w:type="dxa"/>
            <w:tcBorders>
              <w:top w:val="nil"/>
              <w:left w:val="nil"/>
              <w:bottom w:val="nil"/>
              <w:right w:val="nil"/>
            </w:tcBorders>
          </w:tcPr>
          <w:p w14:paraId="1BC65629"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 </w:t>
            </w:r>
          </w:p>
        </w:tc>
        <w:tc>
          <w:tcPr>
            <w:tcW w:w="945" w:type="dxa"/>
            <w:tcBorders>
              <w:top w:val="nil"/>
              <w:left w:val="nil"/>
              <w:bottom w:val="nil"/>
              <w:right w:val="nil"/>
            </w:tcBorders>
          </w:tcPr>
          <w:p w14:paraId="22E41360"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78 </w:t>
            </w:r>
          </w:p>
        </w:tc>
        <w:tc>
          <w:tcPr>
            <w:tcW w:w="946" w:type="dxa"/>
            <w:tcBorders>
              <w:top w:val="nil"/>
              <w:left w:val="nil"/>
              <w:bottom w:val="nil"/>
              <w:right w:val="nil"/>
            </w:tcBorders>
          </w:tcPr>
          <w:p w14:paraId="22C8115C"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16 </w:t>
            </w:r>
          </w:p>
        </w:tc>
        <w:tc>
          <w:tcPr>
            <w:tcW w:w="945" w:type="dxa"/>
            <w:tcBorders>
              <w:top w:val="nil"/>
              <w:left w:val="nil"/>
              <w:bottom w:val="nil"/>
              <w:right w:val="nil"/>
            </w:tcBorders>
          </w:tcPr>
          <w:p w14:paraId="704EB4D6"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153 </w:t>
            </w:r>
          </w:p>
        </w:tc>
      </w:tr>
      <w:tr w:rsidR="00517566" w14:paraId="1C247778" w14:textId="77777777" w:rsidTr="00517566">
        <w:trPr>
          <w:trHeight w:val="319"/>
        </w:trPr>
        <w:tc>
          <w:tcPr>
            <w:tcW w:w="2933" w:type="dxa"/>
            <w:tcBorders>
              <w:top w:val="nil"/>
              <w:left w:val="nil"/>
              <w:bottom w:val="nil"/>
              <w:right w:val="nil"/>
            </w:tcBorders>
          </w:tcPr>
          <w:p w14:paraId="3BC9247F" w14:textId="77777777" w:rsidR="00517566" w:rsidRDefault="00517566">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経常利益</w:t>
            </w:r>
          </w:p>
        </w:tc>
        <w:tc>
          <w:tcPr>
            <w:tcW w:w="945" w:type="dxa"/>
            <w:tcBorders>
              <w:top w:val="nil"/>
              <w:left w:val="nil"/>
              <w:bottom w:val="nil"/>
              <w:right w:val="nil"/>
            </w:tcBorders>
          </w:tcPr>
          <w:p w14:paraId="2E89FAB3"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1,626 </w:t>
            </w:r>
          </w:p>
        </w:tc>
        <w:tc>
          <w:tcPr>
            <w:tcW w:w="946" w:type="dxa"/>
            <w:tcBorders>
              <w:top w:val="nil"/>
              <w:left w:val="nil"/>
              <w:bottom w:val="nil"/>
              <w:right w:val="nil"/>
            </w:tcBorders>
          </w:tcPr>
          <w:p w14:paraId="7E636157"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910 </w:t>
            </w:r>
          </w:p>
        </w:tc>
        <w:tc>
          <w:tcPr>
            <w:tcW w:w="946" w:type="dxa"/>
            <w:tcBorders>
              <w:top w:val="nil"/>
              <w:left w:val="nil"/>
              <w:bottom w:val="nil"/>
              <w:right w:val="nil"/>
            </w:tcBorders>
          </w:tcPr>
          <w:p w14:paraId="459A4F46"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807 </w:t>
            </w:r>
          </w:p>
        </w:tc>
        <w:tc>
          <w:tcPr>
            <w:tcW w:w="945" w:type="dxa"/>
            <w:tcBorders>
              <w:top w:val="nil"/>
              <w:left w:val="nil"/>
              <w:bottom w:val="nil"/>
              <w:right w:val="nil"/>
            </w:tcBorders>
          </w:tcPr>
          <w:p w14:paraId="4BE01642"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479 </w:t>
            </w:r>
          </w:p>
        </w:tc>
        <w:tc>
          <w:tcPr>
            <w:tcW w:w="946" w:type="dxa"/>
            <w:tcBorders>
              <w:top w:val="nil"/>
              <w:left w:val="nil"/>
              <w:bottom w:val="nil"/>
              <w:right w:val="nil"/>
            </w:tcBorders>
          </w:tcPr>
          <w:p w14:paraId="6EC2B60B"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1,176 </w:t>
            </w:r>
          </w:p>
        </w:tc>
        <w:tc>
          <w:tcPr>
            <w:tcW w:w="945" w:type="dxa"/>
            <w:tcBorders>
              <w:top w:val="nil"/>
              <w:left w:val="nil"/>
              <w:bottom w:val="nil"/>
              <w:right w:val="nil"/>
            </w:tcBorders>
          </w:tcPr>
          <w:p w14:paraId="3ECEBC8E"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665 </w:t>
            </w:r>
          </w:p>
        </w:tc>
      </w:tr>
      <w:tr w:rsidR="00517566" w14:paraId="5BCCD6E2" w14:textId="77777777" w:rsidTr="00517566">
        <w:trPr>
          <w:trHeight w:val="319"/>
        </w:trPr>
        <w:tc>
          <w:tcPr>
            <w:tcW w:w="2933" w:type="dxa"/>
            <w:tcBorders>
              <w:top w:val="nil"/>
              <w:left w:val="nil"/>
              <w:bottom w:val="nil"/>
              <w:right w:val="nil"/>
            </w:tcBorders>
          </w:tcPr>
          <w:p w14:paraId="3E07EEF1" w14:textId="77777777" w:rsidR="00517566" w:rsidRDefault="00517566">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 xml:space="preserve">　特別損失</w:t>
            </w:r>
          </w:p>
        </w:tc>
        <w:tc>
          <w:tcPr>
            <w:tcW w:w="945" w:type="dxa"/>
            <w:tcBorders>
              <w:top w:val="nil"/>
              <w:left w:val="nil"/>
              <w:bottom w:val="nil"/>
              <w:right w:val="nil"/>
            </w:tcBorders>
          </w:tcPr>
          <w:p w14:paraId="51665DCE" w14:textId="77777777" w:rsidR="00517566" w:rsidRPr="00C74F0E" w:rsidRDefault="00517566">
            <w:pPr>
              <w:autoSpaceDE w:val="0"/>
              <w:autoSpaceDN w:val="0"/>
              <w:adjustRightInd w:val="0"/>
              <w:jc w:val="right"/>
              <w:rPr>
                <w:rFonts w:ascii="Century" w:eastAsia="游明朝" w:hAnsi="Century" w:cs="Calibri"/>
                <w:color w:val="FF0000"/>
                <w:kern w:val="0"/>
                <w:sz w:val="20"/>
                <w:szCs w:val="20"/>
              </w:rPr>
            </w:pPr>
            <w:r w:rsidRPr="00C74F0E">
              <w:rPr>
                <w:rFonts w:ascii="Century" w:eastAsia="游明朝" w:hAnsi="Century" w:cs="Calibri"/>
                <w:color w:val="FF0000"/>
                <w:kern w:val="0"/>
                <w:sz w:val="20"/>
                <w:szCs w:val="20"/>
              </w:rPr>
              <w:t xml:space="preserve">126 </w:t>
            </w:r>
          </w:p>
        </w:tc>
        <w:tc>
          <w:tcPr>
            <w:tcW w:w="946" w:type="dxa"/>
            <w:tcBorders>
              <w:top w:val="nil"/>
              <w:left w:val="nil"/>
              <w:bottom w:val="nil"/>
              <w:right w:val="nil"/>
            </w:tcBorders>
          </w:tcPr>
          <w:p w14:paraId="5F2981E6" w14:textId="77777777" w:rsidR="00517566" w:rsidRPr="00C74F0E" w:rsidRDefault="00517566">
            <w:pPr>
              <w:autoSpaceDE w:val="0"/>
              <w:autoSpaceDN w:val="0"/>
              <w:adjustRightInd w:val="0"/>
              <w:jc w:val="right"/>
              <w:rPr>
                <w:rFonts w:ascii="Century" w:eastAsia="游明朝" w:hAnsi="Century" w:cs="Calibri"/>
                <w:color w:val="FF0000"/>
                <w:kern w:val="0"/>
                <w:sz w:val="20"/>
                <w:szCs w:val="20"/>
              </w:rPr>
            </w:pPr>
            <w:r w:rsidRPr="00C74F0E">
              <w:rPr>
                <w:rFonts w:ascii="Century" w:eastAsia="游明朝" w:hAnsi="Century" w:cs="Calibri"/>
                <w:color w:val="FF0000"/>
                <w:kern w:val="0"/>
                <w:sz w:val="20"/>
                <w:szCs w:val="20"/>
              </w:rPr>
              <w:t xml:space="preserve">26 </w:t>
            </w:r>
          </w:p>
        </w:tc>
        <w:tc>
          <w:tcPr>
            <w:tcW w:w="946" w:type="dxa"/>
            <w:tcBorders>
              <w:top w:val="nil"/>
              <w:left w:val="nil"/>
              <w:bottom w:val="nil"/>
              <w:right w:val="nil"/>
            </w:tcBorders>
          </w:tcPr>
          <w:p w14:paraId="56693B21" w14:textId="77777777" w:rsidR="00517566" w:rsidRPr="00C74F0E" w:rsidRDefault="00517566">
            <w:pPr>
              <w:autoSpaceDE w:val="0"/>
              <w:autoSpaceDN w:val="0"/>
              <w:adjustRightInd w:val="0"/>
              <w:jc w:val="right"/>
              <w:rPr>
                <w:rFonts w:ascii="Century" w:eastAsia="游明朝" w:hAnsi="Century" w:cs="Calibri"/>
                <w:color w:val="FF0000"/>
                <w:kern w:val="0"/>
                <w:sz w:val="20"/>
                <w:szCs w:val="20"/>
              </w:rPr>
            </w:pPr>
            <w:r w:rsidRPr="00C74F0E">
              <w:rPr>
                <w:rFonts w:ascii="Century" w:eastAsia="游明朝" w:hAnsi="Century" w:cs="Calibri"/>
                <w:color w:val="FF0000"/>
                <w:kern w:val="0"/>
                <w:sz w:val="20"/>
                <w:szCs w:val="20"/>
              </w:rPr>
              <w:t xml:space="preserve">50 </w:t>
            </w:r>
          </w:p>
        </w:tc>
        <w:tc>
          <w:tcPr>
            <w:tcW w:w="945" w:type="dxa"/>
            <w:tcBorders>
              <w:top w:val="nil"/>
              <w:left w:val="nil"/>
              <w:bottom w:val="nil"/>
              <w:right w:val="nil"/>
            </w:tcBorders>
          </w:tcPr>
          <w:p w14:paraId="1E0E5461" w14:textId="77777777" w:rsidR="00517566" w:rsidRPr="00C74F0E" w:rsidRDefault="00517566">
            <w:pPr>
              <w:autoSpaceDE w:val="0"/>
              <w:autoSpaceDN w:val="0"/>
              <w:adjustRightInd w:val="0"/>
              <w:jc w:val="right"/>
              <w:rPr>
                <w:rFonts w:ascii="Century" w:eastAsia="游明朝" w:hAnsi="Century" w:cs="Calibri"/>
                <w:color w:val="FF0000"/>
                <w:kern w:val="0"/>
                <w:sz w:val="20"/>
                <w:szCs w:val="20"/>
              </w:rPr>
            </w:pPr>
            <w:r w:rsidRPr="00C74F0E">
              <w:rPr>
                <w:rFonts w:ascii="Century" w:eastAsia="游明朝" w:hAnsi="Century" w:cs="Calibri"/>
                <w:color w:val="FF0000"/>
                <w:kern w:val="0"/>
                <w:sz w:val="20"/>
                <w:szCs w:val="20"/>
              </w:rPr>
              <w:t xml:space="preserve">39 </w:t>
            </w:r>
          </w:p>
        </w:tc>
        <w:tc>
          <w:tcPr>
            <w:tcW w:w="946" w:type="dxa"/>
            <w:tcBorders>
              <w:top w:val="nil"/>
              <w:left w:val="nil"/>
              <w:bottom w:val="nil"/>
              <w:right w:val="nil"/>
            </w:tcBorders>
          </w:tcPr>
          <w:p w14:paraId="26C7DC97" w14:textId="77777777" w:rsidR="00517566" w:rsidRPr="00C74F0E" w:rsidRDefault="00517566">
            <w:pPr>
              <w:autoSpaceDE w:val="0"/>
              <w:autoSpaceDN w:val="0"/>
              <w:adjustRightInd w:val="0"/>
              <w:jc w:val="right"/>
              <w:rPr>
                <w:rFonts w:ascii="Century" w:eastAsia="游明朝" w:hAnsi="Century" w:cs="Calibri"/>
                <w:color w:val="FF0000"/>
                <w:kern w:val="0"/>
                <w:sz w:val="20"/>
                <w:szCs w:val="20"/>
              </w:rPr>
            </w:pPr>
            <w:r w:rsidRPr="00C74F0E">
              <w:rPr>
                <w:rFonts w:ascii="Century" w:eastAsia="游明朝" w:hAnsi="Century" w:cs="Calibri"/>
                <w:color w:val="FF0000"/>
                <w:kern w:val="0"/>
                <w:sz w:val="20"/>
                <w:szCs w:val="20"/>
              </w:rPr>
              <w:t xml:space="preserve">166 </w:t>
            </w:r>
          </w:p>
        </w:tc>
        <w:tc>
          <w:tcPr>
            <w:tcW w:w="945" w:type="dxa"/>
            <w:tcBorders>
              <w:top w:val="nil"/>
              <w:left w:val="nil"/>
              <w:bottom w:val="nil"/>
              <w:right w:val="nil"/>
            </w:tcBorders>
          </w:tcPr>
          <w:p w14:paraId="5C664E0B" w14:textId="77777777" w:rsidR="00517566" w:rsidRPr="00C74F0E" w:rsidRDefault="00517566">
            <w:pPr>
              <w:autoSpaceDE w:val="0"/>
              <w:autoSpaceDN w:val="0"/>
              <w:adjustRightInd w:val="0"/>
              <w:jc w:val="right"/>
              <w:rPr>
                <w:rFonts w:ascii="Century" w:eastAsia="游明朝" w:hAnsi="Century" w:cs="Calibri"/>
                <w:color w:val="FF0000"/>
                <w:kern w:val="0"/>
                <w:sz w:val="20"/>
                <w:szCs w:val="20"/>
              </w:rPr>
            </w:pPr>
            <w:r w:rsidRPr="00C74F0E">
              <w:rPr>
                <w:rFonts w:ascii="Century" w:eastAsia="游明朝" w:hAnsi="Century" w:cs="Calibri"/>
                <w:color w:val="FF0000"/>
                <w:kern w:val="0"/>
                <w:sz w:val="20"/>
                <w:szCs w:val="20"/>
              </w:rPr>
              <w:t xml:space="preserve">881 </w:t>
            </w:r>
          </w:p>
        </w:tc>
      </w:tr>
      <w:tr w:rsidR="00517566" w14:paraId="14C46155" w14:textId="77777777" w:rsidTr="00517566">
        <w:trPr>
          <w:trHeight w:val="319"/>
        </w:trPr>
        <w:tc>
          <w:tcPr>
            <w:tcW w:w="2933" w:type="dxa"/>
            <w:tcBorders>
              <w:top w:val="nil"/>
              <w:left w:val="nil"/>
              <w:bottom w:val="nil"/>
              <w:right w:val="nil"/>
            </w:tcBorders>
          </w:tcPr>
          <w:p w14:paraId="5C5C829A" w14:textId="77777777" w:rsidR="00517566" w:rsidRDefault="00517566">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税引前利益</w:t>
            </w:r>
          </w:p>
        </w:tc>
        <w:tc>
          <w:tcPr>
            <w:tcW w:w="945" w:type="dxa"/>
            <w:tcBorders>
              <w:top w:val="nil"/>
              <w:left w:val="nil"/>
              <w:bottom w:val="nil"/>
              <w:right w:val="nil"/>
            </w:tcBorders>
          </w:tcPr>
          <w:p w14:paraId="640B3A5D"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1,543 </w:t>
            </w:r>
          </w:p>
        </w:tc>
        <w:tc>
          <w:tcPr>
            <w:tcW w:w="946" w:type="dxa"/>
            <w:tcBorders>
              <w:top w:val="nil"/>
              <w:left w:val="nil"/>
              <w:bottom w:val="nil"/>
              <w:right w:val="nil"/>
            </w:tcBorders>
          </w:tcPr>
          <w:p w14:paraId="1DCAFB9F"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884 </w:t>
            </w:r>
          </w:p>
        </w:tc>
        <w:tc>
          <w:tcPr>
            <w:tcW w:w="946" w:type="dxa"/>
            <w:tcBorders>
              <w:top w:val="nil"/>
              <w:left w:val="nil"/>
              <w:bottom w:val="nil"/>
              <w:right w:val="nil"/>
            </w:tcBorders>
          </w:tcPr>
          <w:p w14:paraId="0F23C394"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757 </w:t>
            </w:r>
          </w:p>
        </w:tc>
        <w:tc>
          <w:tcPr>
            <w:tcW w:w="945" w:type="dxa"/>
            <w:tcBorders>
              <w:top w:val="nil"/>
              <w:left w:val="nil"/>
              <w:bottom w:val="nil"/>
              <w:right w:val="nil"/>
            </w:tcBorders>
          </w:tcPr>
          <w:p w14:paraId="6A12BCCF"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441 </w:t>
            </w:r>
          </w:p>
        </w:tc>
        <w:tc>
          <w:tcPr>
            <w:tcW w:w="946" w:type="dxa"/>
            <w:tcBorders>
              <w:top w:val="nil"/>
              <w:left w:val="nil"/>
              <w:bottom w:val="nil"/>
              <w:right w:val="nil"/>
            </w:tcBorders>
          </w:tcPr>
          <w:p w14:paraId="6BE24C4E"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1,010 </w:t>
            </w:r>
          </w:p>
        </w:tc>
        <w:tc>
          <w:tcPr>
            <w:tcW w:w="945" w:type="dxa"/>
            <w:tcBorders>
              <w:top w:val="nil"/>
              <w:left w:val="nil"/>
              <w:bottom w:val="nil"/>
              <w:right w:val="nil"/>
            </w:tcBorders>
          </w:tcPr>
          <w:p w14:paraId="639636E2" w14:textId="77777777" w:rsidR="00517566" w:rsidRPr="00C74F0E" w:rsidRDefault="00517566">
            <w:pPr>
              <w:autoSpaceDE w:val="0"/>
              <w:autoSpaceDN w:val="0"/>
              <w:adjustRightInd w:val="0"/>
              <w:jc w:val="right"/>
              <w:rPr>
                <w:rFonts w:ascii="Century" w:eastAsia="游明朝" w:hAnsi="Century" w:cs="Calibri"/>
                <w:color w:val="FF0000"/>
                <w:kern w:val="0"/>
                <w:sz w:val="20"/>
                <w:szCs w:val="20"/>
              </w:rPr>
            </w:pPr>
            <w:r w:rsidRPr="00C74F0E">
              <w:rPr>
                <w:rFonts w:ascii="Century" w:eastAsia="游明朝" w:hAnsi="Century" w:cs="Calibri"/>
                <w:color w:val="FF0000"/>
                <w:kern w:val="0"/>
                <w:sz w:val="20"/>
                <w:szCs w:val="20"/>
              </w:rPr>
              <w:t xml:space="preserve">-215 </w:t>
            </w:r>
          </w:p>
        </w:tc>
      </w:tr>
      <w:tr w:rsidR="00517566" w14:paraId="2CF99A43" w14:textId="77777777" w:rsidTr="00517566">
        <w:trPr>
          <w:trHeight w:val="319"/>
        </w:trPr>
        <w:tc>
          <w:tcPr>
            <w:tcW w:w="2933" w:type="dxa"/>
            <w:tcBorders>
              <w:top w:val="nil"/>
              <w:left w:val="nil"/>
              <w:bottom w:val="nil"/>
              <w:right w:val="nil"/>
            </w:tcBorders>
          </w:tcPr>
          <w:p w14:paraId="4CD6BC91" w14:textId="77777777" w:rsidR="00517566" w:rsidRDefault="00517566">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 xml:space="preserve">　法人税等</w:t>
            </w:r>
          </w:p>
        </w:tc>
        <w:tc>
          <w:tcPr>
            <w:tcW w:w="945" w:type="dxa"/>
            <w:tcBorders>
              <w:top w:val="nil"/>
              <w:left w:val="nil"/>
              <w:bottom w:val="nil"/>
              <w:right w:val="nil"/>
            </w:tcBorders>
          </w:tcPr>
          <w:p w14:paraId="650CD37A"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477 </w:t>
            </w:r>
          </w:p>
        </w:tc>
        <w:tc>
          <w:tcPr>
            <w:tcW w:w="946" w:type="dxa"/>
            <w:tcBorders>
              <w:top w:val="nil"/>
              <w:left w:val="nil"/>
              <w:bottom w:val="nil"/>
              <w:right w:val="nil"/>
            </w:tcBorders>
          </w:tcPr>
          <w:p w14:paraId="3819D021"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271 </w:t>
            </w:r>
          </w:p>
        </w:tc>
        <w:tc>
          <w:tcPr>
            <w:tcW w:w="946" w:type="dxa"/>
            <w:tcBorders>
              <w:top w:val="nil"/>
              <w:left w:val="nil"/>
              <w:bottom w:val="nil"/>
              <w:right w:val="nil"/>
            </w:tcBorders>
          </w:tcPr>
          <w:p w14:paraId="51524F8A"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235 </w:t>
            </w:r>
          </w:p>
        </w:tc>
        <w:tc>
          <w:tcPr>
            <w:tcW w:w="945" w:type="dxa"/>
            <w:tcBorders>
              <w:top w:val="nil"/>
              <w:left w:val="nil"/>
              <w:bottom w:val="nil"/>
              <w:right w:val="nil"/>
            </w:tcBorders>
          </w:tcPr>
          <w:p w14:paraId="5DC23AE5"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140 </w:t>
            </w:r>
          </w:p>
        </w:tc>
        <w:tc>
          <w:tcPr>
            <w:tcW w:w="946" w:type="dxa"/>
            <w:tcBorders>
              <w:top w:val="nil"/>
              <w:left w:val="nil"/>
              <w:bottom w:val="nil"/>
              <w:right w:val="nil"/>
            </w:tcBorders>
          </w:tcPr>
          <w:p w14:paraId="7F5A5441"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327 </w:t>
            </w:r>
          </w:p>
        </w:tc>
        <w:tc>
          <w:tcPr>
            <w:tcW w:w="945" w:type="dxa"/>
            <w:tcBorders>
              <w:top w:val="nil"/>
              <w:left w:val="nil"/>
              <w:bottom w:val="nil"/>
              <w:right w:val="nil"/>
            </w:tcBorders>
          </w:tcPr>
          <w:p w14:paraId="475F457D"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-74 </w:t>
            </w:r>
          </w:p>
        </w:tc>
      </w:tr>
      <w:tr w:rsidR="00517566" w14:paraId="75E8F5ED" w14:textId="77777777" w:rsidTr="00517566">
        <w:trPr>
          <w:trHeight w:val="319"/>
        </w:trPr>
        <w:tc>
          <w:tcPr>
            <w:tcW w:w="2933" w:type="dxa"/>
            <w:tcBorders>
              <w:top w:val="nil"/>
              <w:left w:val="nil"/>
              <w:bottom w:val="nil"/>
              <w:right w:val="nil"/>
            </w:tcBorders>
          </w:tcPr>
          <w:p w14:paraId="7E9FCB9C" w14:textId="77777777" w:rsidR="00517566" w:rsidRDefault="00517566">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 xml:space="preserve">　実質実効税率</w:t>
            </w:r>
          </w:p>
        </w:tc>
        <w:tc>
          <w:tcPr>
            <w:tcW w:w="945" w:type="dxa"/>
            <w:tcBorders>
              <w:top w:val="nil"/>
              <w:left w:val="nil"/>
              <w:bottom w:val="nil"/>
              <w:right w:val="nil"/>
            </w:tcBorders>
          </w:tcPr>
          <w:p w14:paraId="5353269E"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30.90%</w:t>
            </w:r>
          </w:p>
        </w:tc>
        <w:tc>
          <w:tcPr>
            <w:tcW w:w="946" w:type="dxa"/>
            <w:tcBorders>
              <w:top w:val="nil"/>
              <w:left w:val="nil"/>
              <w:bottom w:val="nil"/>
              <w:right w:val="nil"/>
            </w:tcBorders>
          </w:tcPr>
          <w:p w14:paraId="37FD5A7C"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30.70%</w:t>
            </w:r>
          </w:p>
        </w:tc>
        <w:tc>
          <w:tcPr>
            <w:tcW w:w="946" w:type="dxa"/>
            <w:tcBorders>
              <w:top w:val="nil"/>
              <w:left w:val="nil"/>
              <w:bottom w:val="nil"/>
              <w:right w:val="nil"/>
            </w:tcBorders>
          </w:tcPr>
          <w:p w14:paraId="0D850DC8"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31.10%</w:t>
            </w:r>
          </w:p>
        </w:tc>
        <w:tc>
          <w:tcPr>
            <w:tcW w:w="945" w:type="dxa"/>
            <w:tcBorders>
              <w:top w:val="nil"/>
              <w:left w:val="nil"/>
              <w:bottom w:val="nil"/>
              <w:right w:val="nil"/>
            </w:tcBorders>
          </w:tcPr>
          <w:p w14:paraId="446E771D"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31.80%</w:t>
            </w:r>
          </w:p>
        </w:tc>
        <w:tc>
          <w:tcPr>
            <w:tcW w:w="946" w:type="dxa"/>
            <w:tcBorders>
              <w:top w:val="nil"/>
              <w:left w:val="nil"/>
              <w:bottom w:val="nil"/>
              <w:right w:val="nil"/>
            </w:tcBorders>
          </w:tcPr>
          <w:p w14:paraId="5CDC7BFC"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32.40%</w:t>
            </w:r>
          </w:p>
        </w:tc>
        <w:tc>
          <w:tcPr>
            <w:tcW w:w="945" w:type="dxa"/>
            <w:tcBorders>
              <w:top w:val="nil"/>
              <w:left w:val="nil"/>
              <w:bottom w:val="nil"/>
              <w:right w:val="nil"/>
            </w:tcBorders>
          </w:tcPr>
          <w:p w14:paraId="118D5455"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34.60%</w:t>
            </w:r>
          </w:p>
        </w:tc>
      </w:tr>
      <w:tr w:rsidR="00517566" w14:paraId="170FD391" w14:textId="77777777" w:rsidTr="00517566">
        <w:trPr>
          <w:trHeight w:val="319"/>
        </w:trPr>
        <w:tc>
          <w:tcPr>
            <w:tcW w:w="2933" w:type="dxa"/>
            <w:tcBorders>
              <w:top w:val="nil"/>
              <w:left w:val="nil"/>
              <w:bottom w:val="nil"/>
              <w:right w:val="nil"/>
            </w:tcBorders>
          </w:tcPr>
          <w:p w14:paraId="052F7605" w14:textId="211E7344" w:rsidR="00517566" w:rsidRDefault="00517566">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当期純利益</w:t>
            </w:r>
          </w:p>
        </w:tc>
        <w:tc>
          <w:tcPr>
            <w:tcW w:w="945" w:type="dxa"/>
            <w:tcBorders>
              <w:top w:val="nil"/>
              <w:left w:val="nil"/>
              <w:bottom w:val="nil"/>
              <w:right w:val="nil"/>
            </w:tcBorders>
          </w:tcPr>
          <w:p w14:paraId="08CF471B"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1,066</w:t>
            </w:r>
          </w:p>
        </w:tc>
        <w:tc>
          <w:tcPr>
            <w:tcW w:w="946" w:type="dxa"/>
            <w:tcBorders>
              <w:top w:val="nil"/>
              <w:left w:val="nil"/>
              <w:bottom w:val="nil"/>
              <w:right w:val="nil"/>
            </w:tcBorders>
          </w:tcPr>
          <w:p w14:paraId="12E78D82"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613</w:t>
            </w:r>
          </w:p>
        </w:tc>
        <w:tc>
          <w:tcPr>
            <w:tcW w:w="946" w:type="dxa"/>
            <w:tcBorders>
              <w:top w:val="nil"/>
              <w:left w:val="nil"/>
              <w:bottom w:val="nil"/>
              <w:right w:val="nil"/>
            </w:tcBorders>
          </w:tcPr>
          <w:p w14:paraId="582C7EA1"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522</w:t>
            </w:r>
          </w:p>
        </w:tc>
        <w:tc>
          <w:tcPr>
            <w:tcW w:w="945" w:type="dxa"/>
            <w:tcBorders>
              <w:top w:val="nil"/>
              <w:left w:val="nil"/>
              <w:bottom w:val="nil"/>
              <w:right w:val="nil"/>
            </w:tcBorders>
          </w:tcPr>
          <w:p w14:paraId="3E02CE7D"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301</w:t>
            </w:r>
          </w:p>
        </w:tc>
        <w:tc>
          <w:tcPr>
            <w:tcW w:w="946" w:type="dxa"/>
            <w:tcBorders>
              <w:top w:val="nil"/>
              <w:left w:val="nil"/>
              <w:bottom w:val="nil"/>
              <w:right w:val="nil"/>
            </w:tcBorders>
          </w:tcPr>
          <w:p w14:paraId="0CB86FC0"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683</w:t>
            </w:r>
          </w:p>
        </w:tc>
        <w:tc>
          <w:tcPr>
            <w:tcW w:w="945" w:type="dxa"/>
            <w:tcBorders>
              <w:top w:val="nil"/>
              <w:left w:val="nil"/>
              <w:bottom w:val="nil"/>
              <w:right w:val="nil"/>
            </w:tcBorders>
          </w:tcPr>
          <w:p w14:paraId="1AA3C02A" w14:textId="77777777" w:rsidR="00517566" w:rsidRPr="00C74F0E" w:rsidRDefault="00517566">
            <w:pPr>
              <w:autoSpaceDE w:val="0"/>
              <w:autoSpaceDN w:val="0"/>
              <w:adjustRightInd w:val="0"/>
              <w:jc w:val="right"/>
              <w:rPr>
                <w:rFonts w:ascii="Century" w:eastAsia="游明朝" w:hAnsi="Century" w:cs="Calibri"/>
                <w:color w:val="FF0000"/>
                <w:kern w:val="0"/>
                <w:sz w:val="20"/>
                <w:szCs w:val="20"/>
              </w:rPr>
            </w:pPr>
            <w:r w:rsidRPr="00C74F0E">
              <w:rPr>
                <w:rFonts w:ascii="Century" w:eastAsia="游明朝" w:hAnsi="Century" w:cs="Calibri"/>
                <w:color w:val="FF0000"/>
                <w:kern w:val="0"/>
                <w:sz w:val="20"/>
                <w:szCs w:val="20"/>
              </w:rPr>
              <w:t>-141</w:t>
            </w:r>
          </w:p>
        </w:tc>
      </w:tr>
      <w:tr w:rsidR="00517566" w14:paraId="401DE475" w14:textId="77777777" w:rsidTr="00517566">
        <w:trPr>
          <w:trHeight w:val="319"/>
        </w:trPr>
        <w:tc>
          <w:tcPr>
            <w:tcW w:w="2933" w:type="dxa"/>
            <w:tcBorders>
              <w:top w:val="nil"/>
              <w:left w:val="nil"/>
              <w:bottom w:val="single" w:sz="6" w:space="0" w:color="000000"/>
              <w:right w:val="nil"/>
            </w:tcBorders>
          </w:tcPr>
          <w:p w14:paraId="55342004" w14:textId="77777777" w:rsidR="00517566" w:rsidRDefault="00517566">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親会社に帰属する純利益</w:t>
            </w:r>
          </w:p>
        </w:tc>
        <w:tc>
          <w:tcPr>
            <w:tcW w:w="945" w:type="dxa"/>
            <w:tcBorders>
              <w:top w:val="nil"/>
              <w:left w:val="nil"/>
              <w:bottom w:val="single" w:sz="6" w:space="0" w:color="000000"/>
              <w:right w:val="nil"/>
            </w:tcBorders>
          </w:tcPr>
          <w:p w14:paraId="4BBD1816"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1,066</w:t>
            </w:r>
          </w:p>
        </w:tc>
        <w:tc>
          <w:tcPr>
            <w:tcW w:w="946" w:type="dxa"/>
            <w:tcBorders>
              <w:top w:val="nil"/>
              <w:left w:val="nil"/>
              <w:bottom w:val="single" w:sz="6" w:space="0" w:color="000000"/>
              <w:right w:val="nil"/>
            </w:tcBorders>
          </w:tcPr>
          <w:p w14:paraId="3051EDA4"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613</w:t>
            </w:r>
          </w:p>
        </w:tc>
        <w:tc>
          <w:tcPr>
            <w:tcW w:w="946" w:type="dxa"/>
            <w:tcBorders>
              <w:top w:val="nil"/>
              <w:left w:val="nil"/>
              <w:bottom w:val="single" w:sz="6" w:space="0" w:color="000000"/>
              <w:right w:val="nil"/>
            </w:tcBorders>
          </w:tcPr>
          <w:p w14:paraId="52168AC3"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522</w:t>
            </w:r>
          </w:p>
        </w:tc>
        <w:tc>
          <w:tcPr>
            <w:tcW w:w="945" w:type="dxa"/>
            <w:tcBorders>
              <w:top w:val="nil"/>
              <w:left w:val="nil"/>
              <w:bottom w:val="single" w:sz="6" w:space="0" w:color="000000"/>
              <w:right w:val="nil"/>
            </w:tcBorders>
          </w:tcPr>
          <w:p w14:paraId="45D6410B"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301</w:t>
            </w:r>
          </w:p>
        </w:tc>
        <w:tc>
          <w:tcPr>
            <w:tcW w:w="946" w:type="dxa"/>
            <w:tcBorders>
              <w:top w:val="nil"/>
              <w:left w:val="nil"/>
              <w:bottom w:val="single" w:sz="6" w:space="0" w:color="000000"/>
              <w:right w:val="nil"/>
            </w:tcBorders>
          </w:tcPr>
          <w:p w14:paraId="478A138B" w14:textId="77777777" w:rsidR="00517566" w:rsidRPr="00C74F0E" w:rsidRDefault="00517566">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683</w:t>
            </w:r>
          </w:p>
        </w:tc>
        <w:tc>
          <w:tcPr>
            <w:tcW w:w="945" w:type="dxa"/>
            <w:tcBorders>
              <w:top w:val="nil"/>
              <w:left w:val="nil"/>
              <w:bottom w:val="single" w:sz="6" w:space="0" w:color="000000"/>
              <w:right w:val="nil"/>
            </w:tcBorders>
          </w:tcPr>
          <w:p w14:paraId="171C9F74" w14:textId="77777777" w:rsidR="00517566" w:rsidRPr="00C74F0E" w:rsidRDefault="00517566">
            <w:pPr>
              <w:autoSpaceDE w:val="0"/>
              <w:autoSpaceDN w:val="0"/>
              <w:adjustRightInd w:val="0"/>
              <w:jc w:val="right"/>
              <w:rPr>
                <w:rFonts w:ascii="Century" w:eastAsia="游明朝" w:hAnsi="Century" w:cs="Calibri"/>
                <w:color w:val="FF0000"/>
                <w:kern w:val="0"/>
                <w:sz w:val="20"/>
                <w:szCs w:val="20"/>
              </w:rPr>
            </w:pPr>
            <w:r w:rsidRPr="00C74F0E">
              <w:rPr>
                <w:rFonts w:ascii="Century" w:eastAsia="游明朝" w:hAnsi="Century" w:cs="Calibri"/>
                <w:color w:val="FF0000"/>
                <w:kern w:val="0"/>
                <w:sz w:val="20"/>
                <w:szCs w:val="20"/>
              </w:rPr>
              <w:t>-141</w:t>
            </w:r>
          </w:p>
        </w:tc>
      </w:tr>
    </w:tbl>
    <w:p w14:paraId="7024394C" w14:textId="30E9AD6A" w:rsidR="006F241C" w:rsidRDefault="006F241C" w:rsidP="006F241C">
      <w:pPr>
        <w:rPr>
          <w:b/>
          <w:bCs/>
        </w:rPr>
      </w:pPr>
      <w:r>
        <w:rPr>
          <w:rFonts w:hint="eastAsia"/>
        </w:rPr>
        <w:t>出典：よみうりランド社「四半期報告書」より筆者作成。</w:t>
      </w:r>
      <w:r w:rsidR="00B15EF4">
        <w:rPr>
          <w:rFonts w:hint="eastAsia"/>
        </w:rPr>
        <w:t>単位は百万円。</w:t>
      </w:r>
    </w:p>
    <w:p w14:paraId="5894ABC5" w14:textId="5A8E799C" w:rsidR="007B3065" w:rsidRPr="006F241C" w:rsidRDefault="007B3065" w:rsidP="0005355D">
      <w:pPr>
        <w:rPr>
          <w:b/>
          <w:bCs/>
        </w:rPr>
      </w:pPr>
    </w:p>
    <w:p w14:paraId="5A1E51B0" w14:textId="74143619" w:rsidR="009208D8" w:rsidRPr="00517566" w:rsidRDefault="009208D8" w:rsidP="009208D8">
      <w:pPr>
        <w:widowControl/>
        <w:jc w:val="left"/>
      </w:pPr>
      <w:r>
        <w:rPr>
          <w:rFonts w:hint="eastAsia"/>
        </w:rPr>
        <w:t>表</w:t>
      </w:r>
      <w:r>
        <w:t>17</w:t>
      </w:r>
      <w:r>
        <w:rPr>
          <w:rFonts w:hint="eastAsia"/>
        </w:rPr>
        <w:t xml:space="preserve">　よみうりランド社の貸借対照表：資産の部（四半期）</w:t>
      </w:r>
    </w:p>
    <w:tbl>
      <w:tblPr>
        <w:tblW w:w="8606" w:type="dxa"/>
        <w:tblInd w:w="-30" w:type="dxa"/>
        <w:tblLayout w:type="fixed"/>
        <w:tblCellMar>
          <w:left w:w="99" w:type="dxa"/>
          <w:right w:w="99" w:type="dxa"/>
        </w:tblCellMar>
        <w:tblLook w:val="0000" w:firstRow="0" w:lastRow="0" w:firstColumn="0" w:lastColumn="0" w:noHBand="0" w:noVBand="0"/>
      </w:tblPr>
      <w:tblGrid>
        <w:gridCol w:w="2933"/>
        <w:gridCol w:w="945"/>
        <w:gridCol w:w="946"/>
        <w:gridCol w:w="946"/>
        <w:gridCol w:w="945"/>
        <w:gridCol w:w="946"/>
        <w:gridCol w:w="945"/>
      </w:tblGrid>
      <w:tr w:rsidR="00C70608" w14:paraId="7EA7197F" w14:textId="77777777" w:rsidTr="009208D8">
        <w:trPr>
          <w:trHeight w:val="319"/>
        </w:trPr>
        <w:tc>
          <w:tcPr>
            <w:tcW w:w="2933" w:type="dxa"/>
            <w:tcBorders>
              <w:top w:val="single" w:sz="6" w:space="0" w:color="000000"/>
              <w:left w:val="nil"/>
              <w:bottom w:val="single" w:sz="6" w:space="0" w:color="auto"/>
              <w:right w:val="nil"/>
            </w:tcBorders>
          </w:tcPr>
          <w:p w14:paraId="33687D0D" w14:textId="77777777" w:rsidR="00C70608" w:rsidRDefault="00C70608" w:rsidP="00C70608">
            <w:pPr>
              <w:autoSpaceDE w:val="0"/>
              <w:autoSpaceDN w:val="0"/>
              <w:adjustRightInd w:val="0"/>
              <w:jc w:val="left"/>
              <w:rPr>
                <w:rFonts w:ascii="游明朝" w:eastAsia="游明朝" w:hAnsi="Arial" w:cs="游明朝"/>
                <w:b/>
                <w:bCs/>
                <w:color w:val="000000"/>
                <w:kern w:val="0"/>
                <w:sz w:val="20"/>
                <w:szCs w:val="20"/>
              </w:rPr>
            </w:pPr>
            <w:r>
              <w:rPr>
                <w:rFonts w:ascii="游明朝" w:eastAsia="游明朝" w:hAnsi="Arial" w:cs="游明朝" w:hint="eastAsia"/>
                <w:b/>
                <w:bCs/>
                <w:color w:val="000000"/>
                <w:kern w:val="0"/>
                <w:sz w:val="20"/>
                <w:szCs w:val="20"/>
              </w:rPr>
              <w:t>資産の部</w:t>
            </w:r>
          </w:p>
        </w:tc>
        <w:tc>
          <w:tcPr>
            <w:tcW w:w="945" w:type="dxa"/>
            <w:tcBorders>
              <w:top w:val="single" w:sz="6" w:space="0" w:color="000000"/>
              <w:left w:val="nil"/>
              <w:bottom w:val="single" w:sz="6" w:space="0" w:color="000000"/>
              <w:right w:val="nil"/>
            </w:tcBorders>
          </w:tcPr>
          <w:p w14:paraId="4A922168" w14:textId="34407A38" w:rsidR="00C70608" w:rsidRPr="00C74F0E" w:rsidRDefault="00C70608" w:rsidP="00C70608">
            <w:pPr>
              <w:autoSpaceDE w:val="0"/>
              <w:autoSpaceDN w:val="0"/>
              <w:adjustRightInd w:val="0"/>
              <w:jc w:val="center"/>
              <w:rPr>
                <w:rFonts w:ascii="Century" w:eastAsia="游明朝" w:hAnsi="Century" w:cs="Arial"/>
                <w:b/>
                <w:bCs/>
                <w:color w:val="000000"/>
                <w:kern w:val="0"/>
                <w:sz w:val="20"/>
                <w:szCs w:val="20"/>
              </w:rPr>
            </w:pPr>
            <w:r w:rsidRPr="00C74F0E">
              <w:rPr>
                <w:rFonts w:ascii="Century" w:hAnsi="Century" w:cs="Arial"/>
                <w:b/>
                <w:bCs/>
                <w:color w:val="000000"/>
                <w:kern w:val="0"/>
                <w:sz w:val="20"/>
                <w:szCs w:val="20"/>
              </w:rPr>
              <w:t>19.Q4</w:t>
            </w:r>
          </w:p>
        </w:tc>
        <w:tc>
          <w:tcPr>
            <w:tcW w:w="946" w:type="dxa"/>
            <w:tcBorders>
              <w:top w:val="single" w:sz="6" w:space="0" w:color="000000"/>
              <w:left w:val="nil"/>
              <w:bottom w:val="single" w:sz="6" w:space="0" w:color="000000"/>
              <w:right w:val="nil"/>
            </w:tcBorders>
          </w:tcPr>
          <w:p w14:paraId="631869C5" w14:textId="40522581" w:rsidR="00C70608" w:rsidRPr="00C74F0E" w:rsidRDefault="00C70608" w:rsidP="00C70608">
            <w:pPr>
              <w:autoSpaceDE w:val="0"/>
              <w:autoSpaceDN w:val="0"/>
              <w:adjustRightInd w:val="0"/>
              <w:jc w:val="center"/>
              <w:rPr>
                <w:rFonts w:ascii="Century" w:eastAsia="游明朝" w:hAnsi="Century" w:cs="Arial"/>
                <w:b/>
                <w:bCs/>
                <w:color w:val="000000"/>
                <w:kern w:val="0"/>
                <w:sz w:val="20"/>
                <w:szCs w:val="20"/>
              </w:rPr>
            </w:pPr>
            <w:r w:rsidRPr="00C74F0E">
              <w:rPr>
                <w:rFonts w:ascii="Century" w:hAnsi="Century" w:cs="Arial"/>
                <w:b/>
                <w:bCs/>
                <w:color w:val="000000"/>
                <w:kern w:val="0"/>
                <w:sz w:val="20"/>
                <w:szCs w:val="20"/>
              </w:rPr>
              <w:t>20.Q1</w:t>
            </w:r>
          </w:p>
        </w:tc>
        <w:tc>
          <w:tcPr>
            <w:tcW w:w="946" w:type="dxa"/>
            <w:tcBorders>
              <w:top w:val="single" w:sz="6" w:space="0" w:color="000000"/>
              <w:left w:val="nil"/>
              <w:bottom w:val="single" w:sz="6" w:space="0" w:color="000000"/>
              <w:right w:val="nil"/>
            </w:tcBorders>
          </w:tcPr>
          <w:p w14:paraId="3A9EA659" w14:textId="7D544FDF" w:rsidR="00C70608" w:rsidRPr="00C74F0E" w:rsidRDefault="00C70608" w:rsidP="00C70608">
            <w:pPr>
              <w:autoSpaceDE w:val="0"/>
              <w:autoSpaceDN w:val="0"/>
              <w:adjustRightInd w:val="0"/>
              <w:jc w:val="center"/>
              <w:rPr>
                <w:rFonts w:ascii="Century" w:eastAsia="游明朝" w:hAnsi="Century" w:cs="Arial"/>
                <w:b/>
                <w:bCs/>
                <w:color w:val="000000"/>
                <w:kern w:val="0"/>
                <w:sz w:val="20"/>
                <w:szCs w:val="20"/>
              </w:rPr>
            </w:pPr>
            <w:r w:rsidRPr="00C74F0E">
              <w:rPr>
                <w:rFonts w:ascii="Century" w:hAnsi="Century" w:cs="Arial"/>
                <w:b/>
                <w:bCs/>
                <w:color w:val="000000"/>
                <w:kern w:val="0"/>
                <w:sz w:val="20"/>
                <w:szCs w:val="20"/>
              </w:rPr>
              <w:t>20.Q2</w:t>
            </w:r>
          </w:p>
        </w:tc>
        <w:tc>
          <w:tcPr>
            <w:tcW w:w="945" w:type="dxa"/>
            <w:tcBorders>
              <w:top w:val="single" w:sz="6" w:space="0" w:color="000000"/>
              <w:left w:val="nil"/>
              <w:bottom w:val="single" w:sz="6" w:space="0" w:color="000000"/>
              <w:right w:val="nil"/>
            </w:tcBorders>
          </w:tcPr>
          <w:p w14:paraId="736080DE" w14:textId="726D9759" w:rsidR="00C70608" w:rsidRPr="00C74F0E" w:rsidRDefault="00C70608" w:rsidP="00C70608">
            <w:pPr>
              <w:autoSpaceDE w:val="0"/>
              <w:autoSpaceDN w:val="0"/>
              <w:adjustRightInd w:val="0"/>
              <w:jc w:val="center"/>
              <w:rPr>
                <w:rFonts w:ascii="Century" w:eastAsia="游明朝" w:hAnsi="Century" w:cs="Arial"/>
                <w:b/>
                <w:bCs/>
                <w:color w:val="000000"/>
                <w:kern w:val="0"/>
                <w:sz w:val="20"/>
                <w:szCs w:val="20"/>
              </w:rPr>
            </w:pPr>
            <w:r w:rsidRPr="00C74F0E">
              <w:rPr>
                <w:rFonts w:ascii="Century" w:hAnsi="Century" w:cs="Arial"/>
                <w:b/>
                <w:bCs/>
                <w:color w:val="000000"/>
                <w:kern w:val="0"/>
                <w:sz w:val="20"/>
                <w:szCs w:val="20"/>
              </w:rPr>
              <w:t>20.Q3</w:t>
            </w:r>
          </w:p>
        </w:tc>
        <w:tc>
          <w:tcPr>
            <w:tcW w:w="946" w:type="dxa"/>
            <w:tcBorders>
              <w:top w:val="single" w:sz="6" w:space="0" w:color="000000"/>
              <w:left w:val="nil"/>
              <w:bottom w:val="single" w:sz="6" w:space="0" w:color="000000"/>
              <w:right w:val="nil"/>
            </w:tcBorders>
          </w:tcPr>
          <w:p w14:paraId="583CAB00" w14:textId="468FBFFF" w:rsidR="00C70608" w:rsidRPr="00C74F0E" w:rsidRDefault="00C70608" w:rsidP="00C70608">
            <w:pPr>
              <w:autoSpaceDE w:val="0"/>
              <w:autoSpaceDN w:val="0"/>
              <w:adjustRightInd w:val="0"/>
              <w:jc w:val="center"/>
              <w:rPr>
                <w:rFonts w:ascii="Century" w:eastAsia="游明朝" w:hAnsi="Century" w:cs="Arial"/>
                <w:b/>
                <w:bCs/>
                <w:color w:val="000000"/>
                <w:kern w:val="0"/>
                <w:sz w:val="20"/>
                <w:szCs w:val="20"/>
              </w:rPr>
            </w:pPr>
            <w:r w:rsidRPr="00C74F0E">
              <w:rPr>
                <w:rFonts w:ascii="Century" w:hAnsi="Century" w:cs="Arial"/>
                <w:b/>
                <w:bCs/>
                <w:color w:val="000000"/>
                <w:kern w:val="0"/>
                <w:sz w:val="20"/>
                <w:szCs w:val="20"/>
              </w:rPr>
              <w:t>20.Q4</w:t>
            </w:r>
          </w:p>
        </w:tc>
        <w:tc>
          <w:tcPr>
            <w:tcW w:w="945" w:type="dxa"/>
            <w:tcBorders>
              <w:top w:val="single" w:sz="6" w:space="0" w:color="000000"/>
              <w:left w:val="nil"/>
              <w:bottom w:val="single" w:sz="6" w:space="0" w:color="000000"/>
              <w:right w:val="nil"/>
            </w:tcBorders>
          </w:tcPr>
          <w:p w14:paraId="2A78FDA3" w14:textId="1833E946" w:rsidR="00C70608" w:rsidRPr="00C74F0E" w:rsidRDefault="00C70608" w:rsidP="00C70608">
            <w:pPr>
              <w:autoSpaceDE w:val="0"/>
              <w:autoSpaceDN w:val="0"/>
              <w:adjustRightInd w:val="0"/>
              <w:jc w:val="center"/>
              <w:rPr>
                <w:rFonts w:ascii="Century" w:eastAsia="游明朝" w:hAnsi="Century" w:cs="Arial"/>
                <w:b/>
                <w:bCs/>
                <w:color w:val="000000"/>
                <w:kern w:val="0"/>
                <w:sz w:val="20"/>
                <w:szCs w:val="20"/>
              </w:rPr>
            </w:pPr>
            <w:r w:rsidRPr="00C74F0E">
              <w:rPr>
                <w:rFonts w:ascii="Century" w:hAnsi="Century" w:cs="Arial"/>
                <w:b/>
                <w:bCs/>
                <w:color w:val="000000"/>
                <w:kern w:val="0"/>
                <w:sz w:val="20"/>
                <w:szCs w:val="20"/>
              </w:rPr>
              <w:t>21.Q1</w:t>
            </w:r>
          </w:p>
        </w:tc>
      </w:tr>
      <w:tr w:rsidR="009208D8" w14:paraId="2AE05EE3" w14:textId="77777777" w:rsidTr="009208D8">
        <w:trPr>
          <w:trHeight w:val="319"/>
        </w:trPr>
        <w:tc>
          <w:tcPr>
            <w:tcW w:w="2933" w:type="dxa"/>
            <w:tcBorders>
              <w:top w:val="nil"/>
              <w:left w:val="nil"/>
              <w:bottom w:val="nil"/>
              <w:right w:val="nil"/>
            </w:tcBorders>
          </w:tcPr>
          <w:p w14:paraId="6B8A21AF" w14:textId="77777777" w:rsidR="009208D8" w:rsidRDefault="009208D8">
            <w:pPr>
              <w:autoSpaceDE w:val="0"/>
              <w:autoSpaceDN w:val="0"/>
              <w:adjustRightInd w:val="0"/>
              <w:jc w:val="left"/>
              <w:rPr>
                <w:rFonts w:ascii="游明朝" w:eastAsia="游明朝" w:hAnsi="Arial" w:cs="游明朝"/>
                <w:color w:val="000000"/>
                <w:kern w:val="0"/>
                <w:sz w:val="20"/>
                <w:szCs w:val="20"/>
              </w:rPr>
            </w:pPr>
            <w:r>
              <w:rPr>
                <w:rFonts w:ascii="游明朝" w:eastAsia="游明朝" w:hAnsi="Arial" w:cs="游明朝" w:hint="eastAsia"/>
                <w:color w:val="000000"/>
                <w:kern w:val="0"/>
                <w:sz w:val="20"/>
                <w:szCs w:val="20"/>
              </w:rPr>
              <w:t>流動資産</w:t>
            </w:r>
          </w:p>
        </w:tc>
        <w:tc>
          <w:tcPr>
            <w:tcW w:w="945" w:type="dxa"/>
            <w:tcBorders>
              <w:top w:val="nil"/>
              <w:left w:val="nil"/>
              <w:bottom w:val="nil"/>
              <w:right w:val="nil"/>
            </w:tcBorders>
          </w:tcPr>
          <w:p w14:paraId="2D3B1CDA"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8,575</w:t>
            </w:r>
          </w:p>
        </w:tc>
        <w:tc>
          <w:tcPr>
            <w:tcW w:w="946" w:type="dxa"/>
            <w:tcBorders>
              <w:top w:val="nil"/>
              <w:left w:val="nil"/>
              <w:bottom w:val="nil"/>
              <w:right w:val="nil"/>
            </w:tcBorders>
          </w:tcPr>
          <w:p w14:paraId="4FCEAEC9"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7,757</w:t>
            </w:r>
          </w:p>
        </w:tc>
        <w:tc>
          <w:tcPr>
            <w:tcW w:w="946" w:type="dxa"/>
            <w:tcBorders>
              <w:top w:val="nil"/>
              <w:left w:val="nil"/>
              <w:bottom w:val="nil"/>
              <w:right w:val="nil"/>
            </w:tcBorders>
          </w:tcPr>
          <w:p w14:paraId="47143BD2"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7,770</w:t>
            </w:r>
          </w:p>
        </w:tc>
        <w:tc>
          <w:tcPr>
            <w:tcW w:w="945" w:type="dxa"/>
            <w:tcBorders>
              <w:top w:val="nil"/>
              <w:left w:val="nil"/>
              <w:bottom w:val="nil"/>
              <w:right w:val="nil"/>
            </w:tcBorders>
          </w:tcPr>
          <w:p w14:paraId="6E47C938"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5,923</w:t>
            </w:r>
          </w:p>
        </w:tc>
        <w:tc>
          <w:tcPr>
            <w:tcW w:w="946" w:type="dxa"/>
            <w:tcBorders>
              <w:top w:val="nil"/>
              <w:left w:val="nil"/>
              <w:bottom w:val="nil"/>
              <w:right w:val="nil"/>
            </w:tcBorders>
          </w:tcPr>
          <w:p w14:paraId="52FF52B1"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6,568</w:t>
            </w:r>
          </w:p>
        </w:tc>
        <w:tc>
          <w:tcPr>
            <w:tcW w:w="945" w:type="dxa"/>
            <w:tcBorders>
              <w:top w:val="nil"/>
              <w:left w:val="nil"/>
              <w:bottom w:val="nil"/>
              <w:right w:val="nil"/>
            </w:tcBorders>
          </w:tcPr>
          <w:p w14:paraId="28143921"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7,093</w:t>
            </w:r>
          </w:p>
        </w:tc>
      </w:tr>
      <w:tr w:rsidR="009208D8" w14:paraId="2B400756" w14:textId="77777777" w:rsidTr="009208D8">
        <w:trPr>
          <w:trHeight w:val="319"/>
        </w:trPr>
        <w:tc>
          <w:tcPr>
            <w:tcW w:w="2933" w:type="dxa"/>
            <w:tcBorders>
              <w:top w:val="nil"/>
              <w:left w:val="nil"/>
              <w:bottom w:val="nil"/>
              <w:right w:val="nil"/>
            </w:tcBorders>
          </w:tcPr>
          <w:p w14:paraId="7CA4F145" w14:textId="77777777" w:rsidR="009208D8" w:rsidRDefault="009208D8">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 xml:space="preserve">　現金及び預金</w:t>
            </w:r>
          </w:p>
        </w:tc>
        <w:tc>
          <w:tcPr>
            <w:tcW w:w="945" w:type="dxa"/>
            <w:tcBorders>
              <w:top w:val="nil"/>
              <w:left w:val="nil"/>
              <w:bottom w:val="nil"/>
              <w:right w:val="nil"/>
            </w:tcBorders>
          </w:tcPr>
          <w:p w14:paraId="5EC8D6DB"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5,534</w:t>
            </w:r>
          </w:p>
        </w:tc>
        <w:tc>
          <w:tcPr>
            <w:tcW w:w="946" w:type="dxa"/>
            <w:tcBorders>
              <w:top w:val="nil"/>
              <w:left w:val="nil"/>
              <w:bottom w:val="nil"/>
              <w:right w:val="nil"/>
            </w:tcBorders>
          </w:tcPr>
          <w:p w14:paraId="59E773E3"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5,880</w:t>
            </w:r>
          </w:p>
        </w:tc>
        <w:tc>
          <w:tcPr>
            <w:tcW w:w="946" w:type="dxa"/>
            <w:tcBorders>
              <w:top w:val="nil"/>
              <w:left w:val="nil"/>
              <w:bottom w:val="nil"/>
              <w:right w:val="nil"/>
            </w:tcBorders>
          </w:tcPr>
          <w:p w14:paraId="1F55ADA0"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5,817</w:t>
            </w:r>
          </w:p>
        </w:tc>
        <w:tc>
          <w:tcPr>
            <w:tcW w:w="945" w:type="dxa"/>
            <w:tcBorders>
              <w:top w:val="nil"/>
              <w:left w:val="nil"/>
              <w:bottom w:val="nil"/>
              <w:right w:val="nil"/>
            </w:tcBorders>
          </w:tcPr>
          <w:p w14:paraId="34F284A7"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3,945</w:t>
            </w:r>
          </w:p>
        </w:tc>
        <w:tc>
          <w:tcPr>
            <w:tcW w:w="946" w:type="dxa"/>
            <w:tcBorders>
              <w:top w:val="nil"/>
              <w:left w:val="nil"/>
              <w:bottom w:val="nil"/>
              <w:right w:val="nil"/>
            </w:tcBorders>
          </w:tcPr>
          <w:p w14:paraId="56D7D6FB"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2,469</w:t>
            </w:r>
          </w:p>
        </w:tc>
        <w:tc>
          <w:tcPr>
            <w:tcW w:w="945" w:type="dxa"/>
            <w:tcBorders>
              <w:top w:val="nil"/>
              <w:left w:val="nil"/>
              <w:bottom w:val="nil"/>
              <w:right w:val="nil"/>
            </w:tcBorders>
          </w:tcPr>
          <w:p w14:paraId="315F2CA2"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5,154</w:t>
            </w:r>
          </w:p>
        </w:tc>
      </w:tr>
      <w:tr w:rsidR="009208D8" w14:paraId="02AF535D" w14:textId="77777777" w:rsidTr="009208D8">
        <w:trPr>
          <w:trHeight w:val="319"/>
        </w:trPr>
        <w:tc>
          <w:tcPr>
            <w:tcW w:w="2933" w:type="dxa"/>
            <w:tcBorders>
              <w:top w:val="nil"/>
              <w:left w:val="nil"/>
              <w:bottom w:val="nil"/>
              <w:right w:val="nil"/>
            </w:tcBorders>
          </w:tcPr>
          <w:p w14:paraId="526648D4" w14:textId="77777777" w:rsidR="009208D8" w:rsidRDefault="009208D8">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 xml:space="preserve">　売掛金および受取手形</w:t>
            </w:r>
          </w:p>
        </w:tc>
        <w:tc>
          <w:tcPr>
            <w:tcW w:w="945" w:type="dxa"/>
            <w:tcBorders>
              <w:top w:val="nil"/>
              <w:left w:val="nil"/>
              <w:bottom w:val="nil"/>
              <w:right w:val="nil"/>
            </w:tcBorders>
          </w:tcPr>
          <w:p w14:paraId="3904DE02"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1297</w:t>
            </w:r>
          </w:p>
        </w:tc>
        <w:tc>
          <w:tcPr>
            <w:tcW w:w="946" w:type="dxa"/>
            <w:tcBorders>
              <w:top w:val="nil"/>
              <w:left w:val="nil"/>
              <w:bottom w:val="nil"/>
              <w:right w:val="nil"/>
            </w:tcBorders>
          </w:tcPr>
          <w:p w14:paraId="0AC5C946"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2735</w:t>
            </w:r>
          </w:p>
        </w:tc>
        <w:tc>
          <w:tcPr>
            <w:tcW w:w="946" w:type="dxa"/>
            <w:tcBorders>
              <w:top w:val="nil"/>
              <w:left w:val="nil"/>
              <w:bottom w:val="nil"/>
              <w:right w:val="nil"/>
            </w:tcBorders>
          </w:tcPr>
          <w:p w14:paraId="60C72E09"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1465</w:t>
            </w:r>
          </w:p>
        </w:tc>
        <w:tc>
          <w:tcPr>
            <w:tcW w:w="945" w:type="dxa"/>
            <w:tcBorders>
              <w:top w:val="nil"/>
              <w:left w:val="nil"/>
              <w:bottom w:val="nil"/>
              <w:right w:val="nil"/>
            </w:tcBorders>
          </w:tcPr>
          <w:p w14:paraId="543E0488"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1486</w:t>
            </w:r>
          </w:p>
        </w:tc>
        <w:tc>
          <w:tcPr>
            <w:tcW w:w="946" w:type="dxa"/>
            <w:tcBorders>
              <w:top w:val="nil"/>
              <w:left w:val="nil"/>
              <w:bottom w:val="nil"/>
              <w:right w:val="nil"/>
            </w:tcBorders>
          </w:tcPr>
          <w:p w14:paraId="6A40B982"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1421</w:t>
            </w:r>
          </w:p>
        </w:tc>
        <w:tc>
          <w:tcPr>
            <w:tcW w:w="945" w:type="dxa"/>
            <w:tcBorders>
              <w:top w:val="nil"/>
              <w:left w:val="nil"/>
              <w:bottom w:val="nil"/>
              <w:right w:val="nil"/>
            </w:tcBorders>
          </w:tcPr>
          <w:p w14:paraId="5019A3D7"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3263</w:t>
            </w:r>
          </w:p>
        </w:tc>
      </w:tr>
      <w:tr w:rsidR="009208D8" w14:paraId="3B08D6CC" w14:textId="77777777" w:rsidTr="009208D8">
        <w:trPr>
          <w:trHeight w:val="319"/>
        </w:trPr>
        <w:tc>
          <w:tcPr>
            <w:tcW w:w="2933" w:type="dxa"/>
            <w:tcBorders>
              <w:top w:val="nil"/>
              <w:left w:val="nil"/>
              <w:bottom w:val="nil"/>
              <w:right w:val="nil"/>
            </w:tcBorders>
          </w:tcPr>
          <w:p w14:paraId="1B1DCB9D" w14:textId="77777777" w:rsidR="009208D8" w:rsidRDefault="009208D8">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 xml:space="preserve">　たな卸資産</w:t>
            </w:r>
          </w:p>
        </w:tc>
        <w:tc>
          <w:tcPr>
            <w:tcW w:w="945" w:type="dxa"/>
            <w:tcBorders>
              <w:top w:val="nil"/>
              <w:left w:val="nil"/>
              <w:bottom w:val="nil"/>
              <w:right w:val="nil"/>
            </w:tcBorders>
          </w:tcPr>
          <w:p w14:paraId="6118FBAF"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113</w:t>
            </w:r>
          </w:p>
        </w:tc>
        <w:tc>
          <w:tcPr>
            <w:tcW w:w="946" w:type="dxa"/>
            <w:tcBorders>
              <w:top w:val="nil"/>
              <w:left w:val="nil"/>
              <w:bottom w:val="nil"/>
              <w:right w:val="nil"/>
            </w:tcBorders>
          </w:tcPr>
          <w:p w14:paraId="167C5B84"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49</w:t>
            </w:r>
          </w:p>
        </w:tc>
        <w:tc>
          <w:tcPr>
            <w:tcW w:w="946" w:type="dxa"/>
            <w:tcBorders>
              <w:top w:val="nil"/>
              <w:left w:val="nil"/>
              <w:bottom w:val="nil"/>
              <w:right w:val="nil"/>
            </w:tcBorders>
          </w:tcPr>
          <w:p w14:paraId="3BCFA2DB"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95</w:t>
            </w:r>
          </w:p>
        </w:tc>
        <w:tc>
          <w:tcPr>
            <w:tcW w:w="945" w:type="dxa"/>
            <w:tcBorders>
              <w:top w:val="nil"/>
              <w:left w:val="nil"/>
              <w:bottom w:val="nil"/>
              <w:right w:val="nil"/>
            </w:tcBorders>
          </w:tcPr>
          <w:p w14:paraId="27A78579"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103</w:t>
            </w:r>
          </w:p>
        </w:tc>
        <w:tc>
          <w:tcPr>
            <w:tcW w:w="946" w:type="dxa"/>
            <w:tcBorders>
              <w:top w:val="nil"/>
              <w:left w:val="nil"/>
              <w:bottom w:val="nil"/>
              <w:right w:val="nil"/>
            </w:tcBorders>
          </w:tcPr>
          <w:p w14:paraId="60B84B98"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121</w:t>
            </w:r>
          </w:p>
        </w:tc>
        <w:tc>
          <w:tcPr>
            <w:tcW w:w="945" w:type="dxa"/>
            <w:tcBorders>
              <w:top w:val="nil"/>
              <w:left w:val="nil"/>
              <w:bottom w:val="nil"/>
              <w:right w:val="nil"/>
            </w:tcBorders>
          </w:tcPr>
          <w:p w14:paraId="193901DA"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62</w:t>
            </w:r>
          </w:p>
        </w:tc>
      </w:tr>
      <w:tr w:rsidR="009208D8" w14:paraId="004C8D27" w14:textId="77777777" w:rsidTr="009208D8">
        <w:trPr>
          <w:trHeight w:val="319"/>
        </w:trPr>
        <w:tc>
          <w:tcPr>
            <w:tcW w:w="2933" w:type="dxa"/>
            <w:tcBorders>
              <w:top w:val="nil"/>
              <w:left w:val="nil"/>
              <w:bottom w:val="nil"/>
              <w:right w:val="nil"/>
            </w:tcBorders>
          </w:tcPr>
          <w:p w14:paraId="5D251857" w14:textId="77777777" w:rsidR="009208D8" w:rsidRDefault="009208D8">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固定資産</w:t>
            </w:r>
          </w:p>
        </w:tc>
        <w:tc>
          <w:tcPr>
            <w:tcW w:w="945" w:type="dxa"/>
            <w:tcBorders>
              <w:top w:val="nil"/>
              <w:left w:val="nil"/>
              <w:bottom w:val="nil"/>
              <w:right w:val="nil"/>
            </w:tcBorders>
          </w:tcPr>
          <w:p w14:paraId="73239F57"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58,845</w:t>
            </w:r>
          </w:p>
        </w:tc>
        <w:tc>
          <w:tcPr>
            <w:tcW w:w="946" w:type="dxa"/>
            <w:tcBorders>
              <w:top w:val="nil"/>
              <w:left w:val="nil"/>
              <w:bottom w:val="nil"/>
              <w:right w:val="nil"/>
            </w:tcBorders>
          </w:tcPr>
          <w:p w14:paraId="38A4AF5D"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58,641</w:t>
            </w:r>
          </w:p>
        </w:tc>
        <w:tc>
          <w:tcPr>
            <w:tcW w:w="946" w:type="dxa"/>
            <w:tcBorders>
              <w:top w:val="nil"/>
              <w:left w:val="nil"/>
              <w:bottom w:val="nil"/>
              <w:right w:val="nil"/>
            </w:tcBorders>
          </w:tcPr>
          <w:p w14:paraId="20E845D9"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57,547</w:t>
            </w:r>
          </w:p>
        </w:tc>
        <w:tc>
          <w:tcPr>
            <w:tcW w:w="945" w:type="dxa"/>
            <w:tcBorders>
              <w:top w:val="nil"/>
              <w:left w:val="nil"/>
              <w:bottom w:val="nil"/>
              <w:right w:val="nil"/>
            </w:tcBorders>
          </w:tcPr>
          <w:p w14:paraId="09CC5F1E"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59,455</w:t>
            </w:r>
          </w:p>
        </w:tc>
        <w:tc>
          <w:tcPr>
            <w:tcW w:w="946" w:type="dxa"/>
            <w:tcBorders>
              <w:top w:val="nil"/>
              <w:left w:val="nil"/>
              <w:bottom w:val="nil"/>
              <w:right w:val="nil"/>
            </w:tcBorders>
          </w:tcPr>
          <w:p w14:paraId="0069A7BE"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59,716</w:t>
            </w:r>
          </w:p>
        </w:tc>
        <w:tc>
          <w:tcPr>
            <w:tcW w:w="945" w:type="dxa"/>
            <w:tcBorders>
              <w:top w:val="nil"/>
              <w:left w:val="nil"/>
              <w:bottom w:val="nil"/>
              <w:right w:val="nil"/>
            </w:tcBorders>
          </w:tcPr>
          <w:p w14:paraId="7054CD15"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59,540</w:t>
            </w:r>
          </w:p>
        </w:tc>
      </w:tr>
      <w:tr w:rsidR="00E0409C" w14:paraId="24B9B968" w14:textId="77777777" w:rsidTr="00E0409C">
        <w:trPr>
          <w:trHeight w:val="319"/>
        </w:trPr>
        <w:tc>
          <w:tcPr>
            <w:tcW w:w="2933" w:type="dxa"/>
            <w:tcBorders>
              <w:top w:val="nil"/>
              <w:left w:val="nil"/>
              <w:bottom w:val="nil"/>
              <w:right w:val="nil"/>
            </w:tcBorders>
          </w:tcPr>
          <w:p w14:paraId="13CFD009" w14:textId="14E6B8E9" w:rsidR="00E0409C" w:rsidRDefault="00E0409C" w:rsidP="00E0409C">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 xml:space="preserve">　建物・構築物</w:t>
            </w:r>
          </w:p>
        </w:tc>
        <w:tc>
          <w:tcPr>
            <w:tcW w:w="945" w:type="dxa"/>
            <w:tcBorders>
              <w:top w:val="nil"/>
              <w:left w:val="nil"/>
              <w:bottom w:val="nil"/>
              <w:right w:val="nil"/>
            </w:tcBorders>
            <w:vAlign w:val="center"/>
          </w:tcPr>
          <w:p w14:paraId="266CABF6" w14:textId="7D1C9971" w:rsidR="00E0409C" w:rsidRPr="00C74F0E" w:rsidRDefault="00E0409C" w:rsidP="00E0409C">
            <w:pPr>
              <w:autoSpaceDE w:val="0"/>
              <w:autoSpaceDN w:val="0"/>
              <w:adjustRightInd w:val="0"/>
              <w:jc w:val="right"/>
              <w:rPr>
                <w:rFonts w:ascii="Century" w:eastAsia="游明朝" w:hAnsi="Century" w:cs="Calibri"/>
                <w:color w:val="000000"/>
                <w:kern w:val="0"/>
                <w:sz w:val="20"/>
                <w:szCs w:val="20"/>
              </w:rPr>
            </w:pPr>
            <w:r w:rsidRPr="00C74F0E">
              <w:rPr>
                <w:rFonts w:ascii="Century" w:hAnsi="Century" w:cs="Calibri"/>
                <w:color w:val="000000"/>
                <w:sz w:val="20"/>
                <w:szCs w:val="20"/>
              </w:rPr>
              <w:t>26,970</w:t>
            </w:r>
          </w:p>
        </w:tc>
        <w:tc>
          <w:tcPr>
            <w:tcW w:w="946" w:type="dxa"/>
            <w:tcBorders>
              <w:top w:val="nil"/>
              <w:left w:val="nil"/>
              <w:bottom w:val="nil"/>
              <w:right w:val="nil"/>
            </w:tcBorders>
            <w:vAlign w:val="center"/>
          </w:tcPr>
          <w:p w14:paraId="320DB12D" w14:textId="6383A9CC" w:rsidR="00E0409C" w:rsidRPr="00C74F0E" w:rsidRDefault="00E0409C" w:rsidP="00E0409C">
            <w:pPr>
              <w:autoSpaceDE w:val="0"/>
              <w:autoSpaceDN w:val="0"/>
              <w:adjustRightInd w:val="0"/>
              <w:jc w:val="right"/>
              <w:rPr>
                <w:rFonts w:ascii="Century" w:eastAsia="游明朝" w:hAnsi="Century" w:cs="Calibri"/>
                <w:color w:val="000000"/>
                <w:kern w:val="0"/>
                <w:sz w:val="20"/>
                <w:szCs w:val="20"/>
              </w:rPr>
            </w:pPr>
            <w:r w:rsidRPr="00C74F0E">
              <w:rPr>
                <w:rFonts w:ascii="Century" w:hAnsi="Century" w:cs="Calibri"/>
                <w:color w:val="000000"/>
                <w:sz w:val="20"/>
                <w:szCs w:val="20"/>
              </w:rPr>
              <w:t>26,655</w:t>
            </w:r>
          </w:p>
        </w:tc>
        <w:tc>
          <w:tcPr>
            <w:tcW w:w="946" w:type="dxa"/>
            <w:tcBorders>
              <w:top w:val="nil"/>
              <w:left w:val="nil"/>
              <w:bottom w:val="nil"/>
              <w:right w:val="nil"/>
            </w:tcBorders>
            <w:vAlign w:val="center"/>
          </w:tcPr>
          <w:p w14:paraId="5252C8DD" w14:textId="5BC98BBF" w:rsidR="00E0409C" w:rsidRPr="00C74F0E" w:rsidRDefault="00E0409C" w:rsidP="00E0409C">
            <w:pPr>
              <w:autoSpaceDE w:val="0"/>
              <w:autoSpaceDN w:val="0"/>
              <w:adjustRightInd w:val="0"/>
              <w:jc w:val="right"/>
              <w:rPr>
                <w:rFonts w:ascii="Century" w:eastAsia="游明朝" w:hAnsi="Century" w:cs="Calibri"/>
                <w:color w:val="000000"/>
                <w:kern w:val="0"/>
                <w:sz w:val="20"/>
                <w:szCs w:val="20"/>
              </w:rPr>
            </w:pPr>
            <w:r w:rsidRPr="00C74F0E">
              <w:rPr>
                <w:rFonts w:ascii="Century" w:hAnsi="Century" w:cs="Calibri"/>
                <w:color w:val="000000"/>
                <w:sz w:val="20"/>
                <w:szCs w:val="20"/>
              </w:rPr>
              <w:t>26,315</w:t>
            </w:r>
          </w:p>
        </w:tc>
        <w:tc>
          <w:tcPr>
            <w:tcW w:w="945" w:type="dxa"/>
            <w:tcBorders>
              <w:top w:val="nil"/>
              <w:left w:val="nil"/>
              <w:bottom w:val="nil"/>
              <w:right w:val="nil"/>
            </w:tcBorders>
            <w:vAlign w:val="center"/>
          </w:tcPr>
          <w:p w14:paraId="4CF0A4FE" w14:textId="345B2AD6" w:rsidR="00E0409C" w:rsidRPr="00C74F0E" w:rsidRDefault="00E0409C" w:rsidP="00E0409C">
            <w:pPr>
              <w:autoSpaceDE w:val="0"/>
              <w:autoSpaceDN w:val="0"/>
              <w:adjustRightInd w:val="0"/>
              <w:jc w:val="right"/>
              <w:rPr>
                <w:rFonts w:ascii="Century" w:eastAsia="游明朝" w:hAnsi="Century" w:cs="Calibri"/>
                <w:color w:val="000000"/>
                <w:kern w:val="0"/>
                <w:sz w:val="20"/>
                <w:szCs w:val="20"/>
              </w:rPr>
            </w:pPr>
            <w:r w:rsidRPr="00C74F0E">
              <w:rPr>
                <w:rFonts w:ascii="Century" w:hAnsi="Century" w:cs="Calibri"/>
                <w:color w:val="000000"/>
                <w:sz w:val="20"/>
                <w:szCs w:val="20"/>
              </w:rPr>
              <w:t>26,360</w:t>
            </w:r>
          </w:p>
        </w:tc>
        <w:tc>
          <w:tcPr>
            <w:tcW w:w="946" w:type="dxa"/>
            <w:tcBorders>
              <w:top w:val="nil"/>
              <w:left w:val="nil"/>
              <w:bottom w:val="nil"/>
              <w:right w:val="nil"/>
            </w:tcBorders>
            <w:vAlign w:val="center"/>
          </w:tcPr>
          <w:p w14:paraId="46F694E4" w14:textId="63A1EDAC" w:rsidR="00E0409C" w:rsidRPr="00C74F0E" w:rsidRDefault="00E0409C" w:rsidP="00E0409C">
            <w:pPr>
              <w:autoSpaceDE w:val="0"/>
              <w:autoSpaceDN w:val="0"/>
              <w:adjustRightInd w:val="0"/>
              <w:jc w:val="right"/>
              <w:rPr>
                <w:rFonts w:ascii="Century" w:eastAsia="游明朝" w:hAnsi="Century" w:cs="Calibri"/>
                <w:color w:val="000000"/>
                <w:kern w:val="0"/>
                <w:sz w:val="20"/>
                <w:szCs w:val="20"/>
              </w:rPr>
            </w:pPr>
            <w:r w:rsidRPr="00C74F0E">
              <w:rPr>
                <w:rFonts w:ascii="Century" w:hAnsi="Century" w:cs="Calibri"/>
                <w:color w:val="000000"/>
                <w:sz w:val="20"/>
                <w:szCs w:val="20"/>
              </w:rPr>
              <w:t>27,934</w:t>
            </w:r>
          </w:p>
        </w:tc>
        <w:tc>
          <w:tcPr>
            <w:tcW w:w="945" w:type="dxa"/>
            <w:tcBorders>
              <w:top w:val="nil"/>
              <w:left w:val="nil"/>
              <w:bottom w:val="nil"/>
              <w:right w:val="nil"/>
            </w:tcBorders>
            <w:vAlign w:val="center"/>
          </w:tcPr>
          <w:p w14:paraId="7CBAC8E3" w14:textId="4EF48031" w:rsidR="00E0409C" w:rsidRPr="00C74F0E" w:rsidRDefault="00E0409C" w:rsidP="00E0409C">
            <w:pPr>
              <w:autoSpaceDE w:val="0"/>
              <w:autoSpaceDN w:val="0"/>
              <w:adjustRightInd w:val="0"/>
              <w:jc w:val="right"/>
              <w:rPr>
                <w:rFonts w:ascii="Century" w:eastAsia="游明朝" w:hAnsi="Century" w:cs="Calibri"/>
                <w:color w:val="000000"/>
                <w:kern w:val="0"/>
                <w:sz w:val="20"/>
                <w:szCs w:val="20"/>
              </w:rPr>
            </w:pPr>
            <w:r w:rsidRPr="00C74F0E">
              <w:rPr>
                <w:rFonts w:ascii="Century" w:hAnsi="Century" w:cs="Calibri"/>
                <w:color w:val="000000"/>
                <w:sz w:val="20"/>
                <w:szCs w:val="20"/>
              </w:rPr>
              <w:t>27,495</w:t>
            </w:r>
          </w:p>
        </w:tc>
      </w:tr>
      <w:tr w:rsidR="009208D8" w14:paraId="65B3EA85" w14:textId="77777777" w:rsidTr="009208D8">
        <w:trPr>
          <w:trHeight w:val="319"/>
        </w:trPr>
        <w:tc>
          <w:tcPr>
            <w:tcW w:w="2933" w:type="dxa"/>
            <w:tcBorders>
              <w:top w:val="nil"/>
              <w:left w:val="nil"/>
              <w:bottom w:val="nil"/>
              <w:right w:val="nil"/>
            </w:tcBorders>
          </w:tcPr>
          <w:p w14:paraId="040A97E3" w14:textId="77777777" w:rsidR="009208D8" w:rsidRDefault="009208D8">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 xml:space="preserve">　土地</w:t>
            </w:r>
          </w:p>
        </w:tc>
        <w:tc>
          <w:tcPr>
            <w:tcW w:w="945" w:type="dxa"/>
            <w:tcBorders>
              <w:top w:val="nil"/>
              <w:left w:val="nil"/>
              <w:bottom w:val="nil"/>
              <w:right w:val="nil"/>
            </w:tcBorders>
          </w:tcPr>
          <w:p w14:paraId="25718F6C"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16,240</w:t>
            </w:r>
          </w:p>
        </w:tc>
        <w:tc>
          <w:tcPr>
            <w:tcW w:w="946" w:type="dxa"/>
            <w:tcBorders>
              <w:top w:val="nil"/>
              <w:left w:val="nil"/>
              <w:bottom w:val="nil"/>
              <w:right w:val="nil"/>
            </w:tcBorders>
          </w:tcPr>
          <w:p w14:paraId="1097DF4E"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16,240</w:t>
            </w:r>
          </w:p>
        </w:tc>
        <w:tc>
          <w:tcPr>
            <w:tcW w:w="946" w:type="dxa"/>
            <w:tcBorders>
              <w:top w:val="nil"/>
              <w:left w:val="nil"/>
              <w:bottom w:val="nil"/>
              <w:right w:val="nil"/>
            </w:tcBorders>
          </w:tcPr>
          <w:p w14:paraId="2D5E683D"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16,246</w:t>
            </w:r>
          </w:p>
        </w:tc>
        <w:tc>
          <w:tcPr>
            <w:tcW w:w="945" w:type="dxa"/>
            <w:tcBorders>
              <w:top w:val="nil"/>
              <w:left w:val="nil"/>
              <w:bottom w:val="nil"/>
              <w:right w:val="nil"/>
            </w:tcBorders>
          </w:tcPr>
          <w:p w14:paraId="19D1A8C8"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16,246</w:t>
            </w:r>
          </w:p>
        </w:tc>
        <w:tc>
          <w:tcPr>
            <w:tcW w:w="946" w:type="dxa"/>
            <w:tcBorders>
              <w:top w:val="nil"/>
              <w:left w:val="nil"/>
              <w:bottom w:val="nil"/>
              <w:right w:val="nil"/>
            </w:tcBorders>
          </w:tcPr>
          <w:p w14:paraId="1B44B21D"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16,246</w:t>
            </w:r>
          </w:p>
        </w:tc>
        <w:tc>
          <w:tcPr>
            <w:tcW w:w="945" w:type="dxa"/>
            <w:tcBorders>
              <w:top w:val="nil"/>
              <w:left w:val="nil"/>
              <w:bottom w:val="nil"/>
              <w:right w:val="nil"/>
            </w:tcBorders>
          </w:tcPr>
          <w:p w14:paraId="3571B184"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16,292</w:t>
            </w:r>
          </w:p>
        </w:tc>
      </w:tr>
      <w:tr w:rsidR="009208D8" w14:paraId="692BB005" w14:textId="77777777" w:rsidTr="009208D8">
        <w:trPr>
          <w:trHeight w:val="319"/>
        </w:trPr>
        <w:tc>
          <w:tcPr>
            <w:tcW w:w="2933" w:type="dxa"/>
            <w:tcBorders>
              <w:top w:val="nil"/>
              <w:left w:val="nil"/>
              <w:bottom w:val="nil"/>
              <w:right w:val="nil"/>
            </w:tcBorders>
          </w:tcPr>
          <w:p w14:paraId="4238DACA" w14:textId="77777777" w:rsidR="009208D8" w:rsidRDefault="009208D8">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 xml:space="preserve">　投資有価証券</w:t>
            </w:r>
          </w:p>
        </w:tc>
        <w:tc>
          <w:tcPr>
            <w:tcW w:w="945" w:type="dxa"/>
            <w:tcBorders>
              <w:top w:val="nil"/>
              <w:left w:val="nil"/>
              <w:bottom w:val="nil"/>
              <w:right w:val="nil"/>
            </w:tcBorders>
          </w:tcPr>
          <w:p w14:paraId="1A2E557F"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11,263</w:t>
            </w:r>
          </w:p>
        </w:tc>
        <w:tc>
          <w:tcPr>
            <w:tcW w:w="946" w:type="dxa"/>
            <w:tcBorders>
              <w:top w:val="nil"/>
              <w:left w:val="nil"/>
              <w:bottom w:val="nil"/>
              <w:right w:val="nil"/>
            </w:tcBorders>
          </w:tcPr>
          <w:p w14:paraId="7E92A201"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10,749</w:t>
            </w:r>
          </w:p>
        </w:tc>
        <w:tc>
          <w:tcPr>
            <w:tcW w:w="946" w:type="dxa"/>
            <w:tcBorders>
              <w:top w:val="nil"/>
              <w:left w:val="nil"/>
              <w:bottom w:val="nil"/>
              <w:right w:val="nil"/>
            </w:tcBorders>
          </w:tcPr>
          <w:p w14:paraId="5A5DFB65"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9,720</w:t>
            </w:r>
          </w:p>
        </w:tc>
        <w:tc>
          <w:tcPr>
            <w:tcW w:w="945" w:type="dxa"/>
            <w:tcBorders>
              <w:top w:val="nil"/>
              <w:left w:val="nil"/>
              <w:bottom w:val="nil"/>
              <w:right w:val="nil"/>
            </w:tcBorders>
          </w:tcPr>
          <w:p w14:paraId="6282356B"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10,140</w:t>
            </w:r>
          </w:p>
        </w:tc>
        <w:tc>
          <w:tcPr>
            <w:tcW w:w="946" w:type="dxa"/>
            <w:tcBorders>
              <w:top w:val="nil"/>
              <w:left w:val="nil"/>
              <w:bottom w:val="nil"/>
              <w:right w:val="nil"/>
            </w:tcBorders>
          </w:tcPr>
          <w:p w14:paraId="38484102"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8,239</w:t>
            </w:r>
          </w:p>
        </w:tc>
        <w:tc>
          <w:tcPr>
            <w:tcW w:w="945" w:type="dxa"/>
            <w:tcBorders>
              <w:top w:val="nil"/>
              <w:left w:val="nil"/>
              <w:bottom w:val="nil"/>
              <w:right w:val="nil"/>
            </w:tcBorders>
          </w:tcPr>
          <w:p w14:paraId="46F2BC39"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8,158</w:t>
            </w:r>
          </w:p>
        </w:tc>
      </w:tr>
      <w:tr w:rsidR="009208D8" w14:paraId="580DA052" w14:textId="77777777" w:rsidTr="009208D8">
        <w:trPr>
          <w:trHeight w:val="319"/>
        </w:trPr>
        <w:tc>
          <w:tcPr>
            <w:tcW w:w="2933" w:type="dxa"/>
            <w:tcBorders>
              <w:top w:val="nil"/>
              <w:left w:val="nil"/>
              <w:bottom w:val="single" w:sz="6" w:space="0" w:color="auto"/>
              <w:right w:val="nil"/>
            </w:tcBorders>
          </w:tcPr>
          <w:p w14:paraId="4C0C9D70" w14:textId="77777777" w:rsidR="009208D8" w:rsidRDefault="009208D8">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総資産</w:t>
            </w:r>
          </w:p>
        </w:tc>
        <w:tc>
          <w:tcPr>
            <w:tcW w:w="945" w:type="dxa"/>
            <w:tcBorders>
              <w:top w:val="nil"/>
              <w:left w:val="nil"/>
              <w:bottom w:val="single" w:sz="6" w:space="0" w:color="auto"/>
              <w:right w:val="nil"/>
            </w:tcBorders>
          </w:tcPr>
          <w:p w14:paraId="1B00A190"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67,421</w:t>
            </w:r>
          </w:p>
        </w:tc>
        <w:tc>
          <w:tcPr>
            <w:tcW w:w="946" w:type="dxa"/>
            <w:tcBorders>
              <w:top w:val="nil"/>
              <w:left w:val="nil"/>
              <w:bottom w:val="single" w:sz="6" w:space="0" w:color="auto"/>
              <w:right w:val="nil"/>
            </w:tcBorders>
          </w:tcPr>
          <w:p w14:paraId="0242DCEB"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66,398</w:t>
            </w:r>
          </w:p>
        </w:tc>
        <w:tc>
          <w:tcPr>
            <w:tcW w:w="946" w:type="dxa"/>
            <w:tcBorders>
              <w:top w:val="nil"/>
              <w:left w:val="nil"/>
              <w:bottom w:val="single" w:sz="6" w:space="0" w:color="auto"/>
              <w:right w:val="nil"/>
            </w:tcBorders>
          </w:tcPr>
          <w:p w14:paraId="5A21E169"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65,317</w:t>
            </w:r>
          </w:p>
        </w:tc>
        <w:tc>
          <w:tcPr>
            <w:tcW w:w="945" w:type="dxa"/>
            <w:tcBorders>
              <w:top w:val="nil"/>
              <w:left w:val="nil"/>
              <w:bottom w:val="single" w:sz="6" w:space="0" w:color="auto"/>
              <w:right w:val="nil"/>
            </w:tcBorders>
          </w:tcPr>
          <w:p w14:paraId="60D16245"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65,378</w:t>
            </w:r>
          </w:p>
        </w:tc>
        <w:tc>
          <w:tcPr>
            <w:tcW w:w="946" w:type="dxa"/>
            <w:tcBorders>
              <w:top w:val="nil"/>
              <w:left w:val="nil"/>
              <w:bottom w:val="single" w:sz="6" w:space="0" w:color="auto"/>
              <w:right w:val="nil"/>
            </w:tcBorders>
          </w:tcPr>
          <w:p w14:paraId="5BB3DBD6"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66,283</w:t>
            </w:r>
          </w:p>
        </w:tc>
        <w:tc>
          <w:tcPr>
            <w:tcW w:w="945" w:type="dxa"/>
            <w:tcBorders>
              <w:top w:val="nil"/>
              <w:left w:val="nil"/>
              <w:bottom w:val="single" w:sz="6" w:space="0" w:color="auto"/>
              <w:right w:val="nil"/>
            </w:tcBorders>
          </w:tcPr>
          <w:p w14:paraId="1E059ABA" w14:textId="77777777" w:rsidR="009208D8" w:rsidRPr="00C74F0E" w:rsidRDefault="009208D8">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66,633</w:t>
            </w:r>
          </w:p>
        </w:tc>
      </w:tr>
    </w:tbl>
    <w:p w14:paraId="594CD6CC" w14:textId="362AD984" w:rsidR="00E0409C" w:rsidRDefault="009208D8" w:rsidP="0005355D">
      <w:pPr>
        <w:rPr>
          <w:b/>
          <w:bCs/>
        </w:rPr>
      </w:pPr>
      <w:r>
        <w:rPr>
          <w:rFonts w:hint="eastAsia"/>
        </w:rPr>
        <w:t>出典：よみうりランド社「四半期報告書」より筆者作成。</w:t>
      </w:r>
      <w:r w:rsidR="00B15EF4">
        <w:rPr>
          <w:rFonts w:hint="eastAsia"/>
        </w:rPr>
        <w:t>単位は百万円。</w:t>
      </w:r>
    </w:p>
    <w:p w14:paraId="7441DE1B" w14:textId="1DF2959E" w:rsidR="000214C0" w:rsidRDefault="000214C0" w:rsidP="0005355D">
      <w:pPr>
        <w:rPr>
          <w:b/>
          <w:bCs/>
        </w:rPr>
      </w:pPr>
    </w:p>
    <w:p w14:paraId="7E627FC6" w14:textId="23CCC3AC" w:rsidR="000214C0" w:rsidRDefault="000214C0" w:rsidP="0005355D">
      <w:pPr>
        <w:rPr>
          <w:b/>
          <w:bCs/>
        </w:rPr>
      </w:pPr>
    </w:p>
    <w:p w14:paraId="017B50F7" w14:textId="72DDBF09" w:rsidR="000214C0" w:rsidRDefault="000214C0" w:rsidP="0005355D">
      <w:pPr>
        <w:rPr>
          <w:b/>
          <w:bCs/>
        </w:rPr>
      </w:pPr>
    </w:p>
    <w:p w14:paraId="3FF6BC06" w14:textId="77980C04" w:rsidR="000214C0" w:rsidRDefault="000214C0" w:rsidP="0005355D">
      <w:pPr>
        <w:rPr>
          <w:b/>
          <w:bCs/>
        </w:rPr>
      </w:pPr>
    </w:p>
    <w:p w14:paraId="1F11ED7E" w14:textId="24E77239" w:rsidR="000214C0" w:rsidRDefault="000214C0" w:rsidP="0005355D">
      <w:pPr>
        <w:rPr>
          <w:b/>
          <w:bCs/>
        </w:rPr>
      </w:pPr>
    </w:p>
    <w:p w14:paraId="5E15C34E" w14:textId="77777777" w:rsidR="00B15EF4" w:rsidRDefault="00B15EF4" w:rsidP="0005355D">
      <w:pPr>
        <w:rPr>
          <w:b/>
          <w:bCs/>
        </w:rPr>
      </w:pPr>
    </w:p>
    <w:p w14:paraId="6E463A9C" w14:textId="0939C565" w:rsidR="009208D8" w:rsidRPr="00517566" w:rsidRDefault="009208D8" w:rsidP="009208D8">
      <w:pPr>
        <w:widowControl/>
        <w:jc w:val="left"/>
      </w:pPr>
      <w:r>
        <w:rPr>
          <w:rFonts w:hint="eastAsia"/>
        </w:rPr>
        <w:t>表</w:t>
      </w:r>
      <w:r>
        <w:t>18</w:t>
      </w:r>
      <w:r>
        <w:rPr>
          <w:rFonts w:hint="eastAsia"/>
        </w:rPr>
        <w:t xml:space="preserve">　よみうりランド社の貸借対照表：負債・純資産の部（四半期）</w:t>
      </w:r>
    </w:p>
    <w:tbl>
      <w:tblPr>
        <w:tblW w:w="8606" w:type="dxa"/>
        <w:tblInd w:w="-30" w:type="dxa"/>
        <w:tblLayout w:type="fixed"/>
        <w:tblCellMar>
          <w:left w:w="99" w:type="dxa"/>
          <w:right w:w="99" w:type="dxa"/>
        </w:tblCellMar>
        <w:tblLook w:val="0000" w:firstRow="0" w:lastRow="0" w:firstColumn="0" w:lastColumn="0" w:noHBand="0" w:noVBand="0"/>
      </w:tblPr>
      <w:tblGrid>
        <w:gridCol w:w="2933"/>
        <w:gridCol w:w="945"/>
        <w:gridCol w:w="946"/>
        <w:gridCol w:w="946"/>
        <w:gridCol w:w="945"/>
        <w:gridCol w:w="946"/>
        <w:gridCol w:w="945"/>
      </w:tblGrid>
      <w:tr w:rsidR="00C70608" w14:paraId="6BE8EBE9" w14:textId="77777777" w:rsidTr="0002785B">
        <w:trPr>
          <w:trHeight w:val="319"/>
        </w:trPr>
        <w:tc>
          <w:tcPr>
            <w:tcW w:w="2933" w:type="dxa"/>
            <w:tcBorders>
              <w:top w:val="single" w:sz="6" w:space="0" w:color="auto"/>
              <w:left w:val="nil"/>
              <w:bottom w:val="single" w:sz="6" w:space="0" w:color="auto"/>
              <w:right w:val="nil"/>
            </w:tcBorders>
          </w:tcPr>
          <w:p w14:paraId="3A4919D1" w14:textId="77777777" w:rsidR="00C70608" w:rsidRDefault="00C70608" w:rsidP="00C70608">
            <w:pPr>
              <w:autoSpaceDE w:val="0"/>
              <w:autoSpaceDN w:val="0"/>
              <w:adjustRightInd w:val="0"/>
              <w:jc w:val="left"/>
              <w:rPr>
                <w:rFonts w:ascii="游明朝" w:eastAsia="游明朝" w:hAnsi="Arial" w:cs="游明朝"/>
                <w:b/>
                <w:bCs/>
                <w:color w:val="000000"/>
                <w:kern w:val="0"/>
                <w:sz w:val="20"/>
                <w:szCs w:val="20"/>
              </w:rPr>
            </w:pPr>
            <w:r>
              <w:rPr>
                <w:rFonts w:ascii="游明朝" w:eastAsia="游明朝" w:hAnsi="Arial" w:cs="游明朝" w:hint="eastAsia"/>
                <w:b/>
                <w:bCs/>
                <w:color w:val="000000"/>
                <w:kern w:val="0"/>
                <w:sz w:val="20"/>
                <w:szCs w:val="20"/>
              </w:rPr>
              <w:t>負債・純資産の部</w:t>
            </w:r>
          </w:p>
        </w:tc>
        <w:tc>
          <w:tcPr>
            <w:tcW w:w="945" w:type="dxa"/>
            <w:tcBorders>
              <w:top w:val="single" w:sz="6" w:space="0" w:color="000000"/>
              <w:left w:val="nil"/>
              <w:bottom w:val="single" w:sz="6" w:space="0" w:color="000000"/>
              <w:right w:val="nil"/>
            </w:tcBorders>
          </w:tcPr>
          <w:p w14:paraId="217048C9" w14:textId="6ADA1155" w:rsidR="00C70608" w:rsidRPr="00C74F0E" w:rsidRDefault="00C70608" w:rsidP="00C70608">
            <w:pPr>
              <w:autoSpaceDE w:val="0"/>
              <w:autoSpaceDN w:val="0"/>
              <w:adjustRightInd w:val="0"/>
              <w:jc w:val="center"/>
              <w:rPr>
                <w:rFonts w:ascii="Century" w:eastAsia="游明朝" w:hAnsi="Century" w:cs="Arial"/>
                <w:b/>
                <w:bCs/>
                <w:color w:val="000000"/>
                <w:kern w:val="0"/>
                <w:sz w:val="20"/>
                <w:szCs w:val="20"/>
              </w:rPr>
            </w:pPr>
            <w:r w:rsidRPr="00C74F0E">
              <w:rPr>
                <w:rFonts w:ascii="Century" w:hAnsi="Century" w:cs="Arial"/>
                <w:b/>
                <w:bCs/>
                <w:color w:val="000000"/>
                <w:kern w:val="0"/>
                <w:sz w:val="20"/>
                <w:szCs w:val="20"/>
              </w:rPr>
              <w:t>19.Q4</w:t>
            </w:r>
          </w:p>
        </w:tc>
        <w:tc>
          <w:tcPr>
            <w:tcW w:w="946" w:type="dxa"/>
            <w:tcBorders>
              <w:top w:val="single" w:sz="6" w:space="0" w:color="000000"/>
              <w:left w:val="nil"/>
              <w:bottom w:val="single" w:sz="6" w:space="0" w:color="000000"/>
              <w:right w:val="nil"/>
            </w:tcBorders>
          </w:tcPr>
          <w:p w14:paraId="6BA50309" w14:textId="56E308E5" w:rsidR="00C70608" w:rsidRPr="00C74F0E" w:rsidRDefault="00C70608" w:rsidP="00C70608">
            <w:pPr>
              <w:autoSpaceDE w:val="0"/>
              <w:autoSpaceDN w:val="0"/>
              <w:adjustRightInd w:val="0"/>
              <w:jc w:val="center"/>
              <w:rPr>
                <w:rFonts w:ascii="Century" w:eastAsia="游明朝" w:hAnsi="Century" w:cs="Arial"/>
                <w:b/>
                <w:bCs/>
                <w:color w:val="000000"/>
                <w:kern w:val="0"/>
                <w:sz w:val="20"/>
                <w:szCs w:val="20"/>
              </w:rPr>
            </w:pPr>
            <w:r w:rsidRPr="00C74F0E">
              <w:rPr>
                <w:rFonts w:ascii="Century" w:hAnsi="Century" w:cs="Arial"/>
                <w:b/>
                <w:bCs/>
                <w:color w:val="000000"/>
                <w:kern w:val="0"/>
                <w:sz w:val="20"/>
                <w:szCs w:val="20"/>
              </w:rPr>
              <w:t>20.Q1</w:t>
            </w:r>
          </w:p>
        </w:tc>
        <w:tc>
          <w:tcPr>
            <w:tcW w:w="946" w:type="dxa"/>
            <w:tcBorders>
              <w:top w:val="single" w:sz="6" w:space="0" w:color="000000"/>
              <w:left w:val="nil"/>
              <w:bottom w:val="single" w:sz="6" w:space="0" w:color="000000"/>
              <w:right w:val="nil"/>
            </w:tcBorders>
          </w:tcPr>
          <w:p w14:paraId="34725D11" w14:textId="49150792" w:rsidR="00C70608" w:rsidRPr="00C74F0E" w:rsidRDefault="00C70608" w:rsidP="00C70608">
            <w:pPr>
              <w:autoSpaceDE w:val="0"/>
              <w:autoSpaceDN w:val="0"/>
              <w:adjustRightInd w:val="0"/>
              <w:jc w:val="center"/>
              <w:rPr>
                <w:rFonts w:ascii="Century" w:eastAsia="游明朝" w:hAnsi="Century" w:cs="Arial"/>
                <w:b/>
                <w:bCs/>
                <w:color w:val="000000"/>
                <w:kern w:val="0"/>
                <w:sz w:val="20"/>
                <w:szCs w:val="20"/>
              </w:rPr>
            </w:pPr>
            <w:r w:rsidRPr="00C74F0E">
              <w:rPr>
                <w:rFonts w:ascii="Century" w:hAnsi="Century" w:cs="Arial"/>
                <w:b/>
                <w:bCs/>
                <w:color w:val="000000"/>
                <w:kern w:val="0"/>
                <w:sz w:val="20"/>
                <w:szCs w:val="20"/>
              </w:rPr>
              <w:t>20.Q2</w:t>
            </w:r>
          </w:p>
        </w:tc>
        <w:tc>
          <w:tcPr>
            <w:tcW w:w="945" w:type="dxa"/>
            <w:tcBorders>
              <w:top w:val="single" w:sz="6" w:space="0" w:color="000000"/>
              <w:left w:val="nil"/>
              <w:bottom w:val="single" w:sz="6" w:space="0" w:color="000000"/>
              <w:right w:val="nil"/>
            </w:tcBorders>
          </w:tcPr>
          <w:p w14:paraId="22692520" w14:textId="3D1E910B" w:rsidR="00C70608" w:rsidRPr="00C74F0E" w:rsidRDefault="00C70608" w:rsidP="00C70608">
            <w:pPr>
              <w:autoSpaceDE w:val="0"/>
              <w:autoSpaceDN w:val="0"/>
              <w:adjustRightInd w:val="0"/>
              <w:jc w:val="center"/>
              <w:rPr>
                <w:rFonts w:ascii="Century" w:eastAsia="游明朝" w:hAnsi="Century" w:cs="Arial"/>
                <w:b/>
                <w:bCs/>
                <w:color w:val="000000"/>
                <w:kern w:val="0"/>
                <w:sz w:val="20"/>
                <w:szCs w:val="20"/>
              </w:rPr>
            </w:pPr>
            <w:r w:rsidRPr="00C74F0E">
              <w:rPr>
                <w:rFonts w:ascii="Century" w:hAnsi="Century" w:cs="Arial"/>
                <w:b/>
                <w:bCs/>
                <w:color w:val="000000"/>
                <w:kern w:val="0"/>
                <w:sz w:val="20"/>
                <w:szCs w:val="20"/>
              </w:rPr>
              <w:t>20.Q3</w:t>
            </w:r>
          </w:p>
        </w:tc>
        <w:tc>
          <w:tcPr>
            <w:tcW w:w="946" w:type="dxa"/>
            <w:tcBorders>
              <w:top w:val="single" w:sz="6" w:space="0" w:color="000000"/>
              <w:left w:val="nil"/>
              <w:bottom w:val="single" w:sz="6" w:space="0" w:color="000000"/>
              <w:right w:val="nil"/>
            </w:tcBorders>
          </w:tcPr>
          <w:p w14:paraId="36C20F32" w14:textId="521E8D83" w:rsidR="00C70608" w:rsidRPr="00C74F0E" w:rsidRDefault="00C70608" w:rsidP="00C70608">
            <w:pPr>
              <w:autoSpaceDE w:val="0"/>
              <w:autoSpaceDN w:val="0"/>
              <w:adjustRightInd w:val="0"/>
              <w:jc w:val="center"/>
              <w:rPr>
                <w:rFonts w:ascii="Century" w:eastAsia="游明朝" w:hAnsi="Century" w:cs="Arial"/>
                <w:b/>
                <w:bCs/>
                <w:color w:val="000000"/>
                <w:kern w:val="0"/>
                <w:sz w:val="20"/>
                <w:szCs w:val="20"/>
              </w:rPr>
            </w:pPr>
            <w:r w:rsidRPr="00C74F0E">
              <w:rPr>
                <w:rFonts w:ascii="Century" w:hAnsi="Century" w:cs="Arial"/>
                <w:b/>
                <w:bCs/>
                <w:color w:val="000000"/>
                <w:kern w:val="0"/>
                <w:sz w:val="20"/>
                <w:szCs w:val="20"/>
              </w:rPr>
              <w:t>20.Q4</w:t>
            </w:r>
          </w:p>
        </w:tc>
        <w:tc>
          <w:tcPr>
            <w:tcW w:w="945" w:type="dxa"/>
            <w:tcBorders>
              <w:top w:val="single" w:sz="6" w:space="0" w:color="000000"/>
              <w:left w:val="nil"/>
              <w:bottom w:val="single" w:sz="6" w:space="0" w:color="000000"/>
              <w:right w:val="nil"/>
            </w:tcBorders>
          </w:tcPr>
          <w:p w14:paraId="4DCDD172" w14:textId="018425AF" w:rsidR="00C70608" w:rsidRPr="00C74F0E" w:rsidRDefault="00C70608" w:rsidP="00C70608">
            <w:pPr>
              <w:autoSpaceDE w:val="0"/>
              <w:autoSpaceDN w:val="0"/>
              <w:adjustRightInd w:val="0"/>
              <w:jc w:val="center"/>
              <w:rPr>
                <w:rFonts w:ascii="Century" w:eastAsia="游明朝" w:hAnsi="Century" w:cs="Arial"/>
                <w:b/>
                <w:bCs/>
                <w:color w:val="000000"/>
                <w:kern w:val="0"/>
                <w:sz w:val="20"/>
                <w:szCs w:val="20"/>
              </w:rPr>
            </w:pPr>
            <w:r w:rsidRPr="00C74F0E">
              <w:rPr>
                <w:rFonts w:ascii="Century" w:hAnsi="Century" w:cs="Arial"/>
                <w:b/>
                <w:bCs/>
                <w:color w:val="000000"/>
                <w:kern w:val="0"/>
                <w:sz w:val="20"/>
                <w:szCs w:val="20"/>
              </w:rPr>
              <w:t>21.Q1</w:t>
            </w:r>
          </w:p>
        </w:tc>
      </w:tr>
      <w:tr w:rsidR="0002785B" w14:paraId="194BF581" w14:textId="77777777" w:rsidTr="0002785B">
        <w:trPr>
          <w:trHeight w:val="319"/>
        </w:trPr>
        <w:tc>
          <w:tcPr>
            <w:tcW w:w="2933" w:type="dxa"/>
            <w:tcBorders>
              <w:top w:val="nil"/>
              <w:left w:val="nil"/>
              <w:bottom w:val="nil"/>
              <w:right w:val="nil"/>
            </w:tcBorders>
          </w:tcPr>
          <w:p w14:paraId="61AF4041" w14:textId="77777777" w:rsidR="0002785B" w:rsidRDefault="0002785B">
            <w:pPr>
              <w:autoSpaceDE w:val="0"/>
              <w:autoSpaceDN w:val="0"/>
              <w:adjustRightInd w:val="0"/>
              <w:jc w:val="left"/>
              <w:rPr>
                <w:rFonts w:ascii="游明朝" w:eastAsia="游明朝" w:hAnsi="Arial" w:cs="游明朝"/>
                <w:color w:val="000000"/>
                <w:kern w:val="0"/>
                <w:sz w:val="20"/>
                <w:szCs w:val="20"/>
              </w:rPr>
            </w:pPr>
            <w:r>
              <w:rPr>
                <w:rFonts w:ascii="游明朝" w:eastAsia="游明朝" w:hAnsi="Arial" w:cs="游明朝" w:hint="eastAsia"/>
                <w:color w:val="000000"/>
                <w:kern w:val="0"/>
                <w:sz w:val="20"/>
                <w:szCs w:val="20"/>
              </w:rPr>
              <w:t>負債</w:t>
            </w:r>
          </w:p>
        </w:tc>
        <w:tc>
          <w:tcPr>
            <w:tcW w:w="945" w:type="dxa"/>
            <w:tcBorders>
              <w:top w:val="nil"/>
              <w:left w:val="nil"/>
              <w:bottom w:val="nil"/>
              <w:right w:val="nil"/>
            </w:tcBorders>
          </w:tcPr>
          <w:p w14:paraId="1B40EC23"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38,296 </w:t>
            </w:r>
          </w:p>
        </w:tc>
        <w:tc>
          <w:tcPr>
            <w:tcW w:w="946" w:type="dxa"/>
            <w:tcBorders>
              <w:top w:val="nil"/>
              <w:left w:val="nil"/>
              <w:bottom w:val="nil"/>
              <w:right w:val="nil"/>
            </w:tcBorders>
          </w:tcPr>
          <w:p w14:paraId="24AFAB1F"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37,210 </w:t>
            </w:r>
          </w:p>
        </w:tc>
        <w:tc>
          <w:tcPr>
            <w:tcW w:w="946" w:type="dxa"/>
            <w:tcBorders>
              <w:top w:val="nil"/>
              <w:left w:val="nil"/>
              <w:bottom w:val="nil"/>
              <w:right w:val="nil"/>
            </w:tcBorders>
          </w:tcPr>
          <w:p w14:paraId="024484C7"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36,320 </w:t>
            </w:r>
          </w:p>
        </w:tc>
        <w:tc>
          <w:tcPr>
            <w:tcW w:w="945" w:type="dxa"/>
            <w:tcBorders>
              <w:top w:val="nil"/>
              <w:left w:val="nil"/>
              <w:bottom w:val="nil"/>
              <w:right w:val="nil"/>
            </w:tcBorders>
          </w:tcPr>
          <w:p w14:paraId="19A688D5"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35,982 </w:t>
            </w:r>
          </w:p>
        </w:tc>
        <w:tc>
          <w:tcPr>
            <w:tcW w:w="946" w:type="dxa"/>
            <w:tcBorders>
              <w:top w:val="nil"/>
              <w:left w:val="nil"/>
              <w:bottom w:val="nil"/>
              <w:right w:val="nil"/>
            </w:tcBorders>
          </w:tcPr>
          <w:p w14:paraId="24DC1240"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37,494 </w:t>
            </w:r>
          </w:p>
        </w:tc>
        <w:tc>
          <w:tcPr>
            <w:tcW w:w="945" w:type="dxa"/>
            <w:tcBorders>
              <w:top w:val="nil"/>
              <w:left w:val="nil"/>
              <w:bottom w:val="nil"/>
              <w:right w:val="nil"/>
            </w:tcBorders>
          </w:tcPr>
          <w:p w14:paraId="29B4D494"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38,231 </w:t>
            </w:r>
          </w:p>
        </w:tc>
      </w:tr>
      <w:tr w:rsidR="0002785B" w14:paraId="4222C1C9" w14:textId="77777777" w:rsidTr="0002785B">
        <w:trPr>
          <w:trHeight w:val="319"/>
        </w:trPr>
        <w:tc>
          <w:tcPr>
            <w:tcW w:w="2933" w:type="dxa"/>
            <w:tcBorders>
              <w:top w:val="nil"/>
              <w:left w:val="nil"/>
              <w:bottom w:val="nil"/>
              <w:right w:val="nil"/>
            </w:tcBorders>
          </w:tcPr>
          <w:p w14:paraId="12161122" w14:textId="77777777" w:rsidR="0002785B" w:rsidRDefault="0002785B">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 xml:space="preserve">　流動負債</w:t>
            </w:r>
          </w:p>
        </w:tc>
        <w:tc>
          <w:tcPr>
            <w:tcW w:w="945" w:type="dxa"/>
            <w:tcBorders>
              <w:top w:val="nil"/>
              <w:left w:val="nil"/>
              <w:bottom w:val="nil"/>
              <w:right w:val="nil"/>
            </w:tcBorders>
          </w:tcPr>
          <w:p w14:paraId="739C12D3"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6,636 </w:t>
            </w:r>
          </w:p>
        </w:tc>
        <w:tc>
          <w:tcPr>
            <w:tcW w:w="946" w:type="dxa"/>
            <w:tcBorders>
              <w:top w:val="nil"/>
              <w:left w:val="nil"/>
              <w:bottom w:val="nil"/>
              <w:right w:val="nil"/>
            </w:tcBorders>
          </w:tcPr>
          <w:p w14:paraId="458B21D0"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6,294 </w:t>
            </w:r>
          </w:p>
        </w:tc>
        <w:tc>
          <w:tcPr>
            <w:tcW w:w="946" w:type="dxa"/>
            <w:tcBorders>
              <w:top w:val="nil"/>
              <w:left w:val="nil"/>
              <w:bottom w:val="nil"/>
              <w:right w:val="nil"/>
            </w:tcBorders>
          </w:tcPr>
          <w:p w14:paraId="059CF777"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6,320 </w:t>
            </w:r>
          </w:p>
        </w:tc>
        <w:tc>
          <w:tcPr>
            <w:tcW w:w="945" w:type="dxa"/>
            <w:tcBorders>
              <w:top w:val="nil"/>
              <w:left w:val="nil"/>
              <w:bottom w:val="nil"/>
              <w:right w:val="nil"/>
            </w:tcBorders>
          </w:tcPr>
          <w:p w14:paraId="71CE4DF8"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6,522 </w:t>
            </w:r>
          </w:p>
        </w:tc>
        <w:tc>
          <w:tcPr>
            <w:tcW w:w="946" w:type="dxa"/>
            <w:tcBorders>
              <w:top w:val="nil"/>
              <w:left w:val="nil"/>
              <w:bottom w:val="nil"/>
              <w:right w:val="nil"/>
            </w:tcBorders>
          </w:tcPr>
          <w:p w14:paraId="129216B6"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9,399 </w:t>
            </w:r>
          </w:p>
        </w:tc>
        <w:tc>
          <w:tcPr>
            <w:tcW w:w="945" w:type="dxa"/>
            <w:tcBorders>
              <w:top w:val="nil"/>
              <w:left w:val="nil"/>
              <w:bottom w:val="nil"/>
              <w:right w:val="nil"/>
            </w:tcBorders>
          </w:tcPr>
          <w:p w14:paraId="097E0216"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9,374 </w:t>
            </w:r>
          </w:p>
        </w:tc>
      </w:tr>
      <w:tr w:rsidR="0002785B" w14:paraId="6BFF23D2" w14:textId="77777777" w:rsidTr="0002785B">
        <w:trPr>
          <w:trHeight w:val="319"/>
        </w:trPr>
        <w:tc>
          <w:tcPr>
            <w:tcW w:w="2933" w:type="dxa"/>
            <w:tcBorders>
              <w:top w:val="nil"/>
              <w:left w:val="nil"/>
              <w:bottom w:val="nil"/>
              <w:right w:val="nil"/>
            </w:tcBorders>
          </w:tcPr>
          <w:p w14:paraId="4A7113E9" w14:textId="77777777" w:rsidR="0002785B" w:rsidRDefault="0002785B">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 xml:space="preserve">　　営業未払金</w:t>
            </w:r>
          </w:p>
        </w:tc>
        <w:tc>
          <w:tcPr>
            <w:tcW w:w="945" w:type="dxa"/>
            <w:tcBorders>
              <w:top w:val="nil"/>
              <w:left w:val="nil"/>
              <w:bottom w:val="nil"/>
              <w:right w:val="nil"/>
            </w:tcBorders>
          </w:tcPr>
          <w:p w14:paraId="6F15ADF4"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881 </w:t>
            </w:r>
          </w:p>
        </w:tc>
        <w:tc>
          <w:tcPr>
            <w:tcW w:w="946" w:type="dxa"/>
            <w:tcBorders>
              <w:top w:val="nil"/>
              <w:left w:val="nil"/>
              <w:bottom w:val="nil"/>
              <w:right w:val="nil"/>
            </w:tcBorders>
          </w:tcPr>
          <w:p w14:paraId="2DBF6174"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424 </w:t>
            </w:r>
          </w:p>
        </w:tc>
        <w:tc>
          <w:tcPr>
            <w:tcW w:w="946" w:type="dxa"/>
            <w:tcBorders>
              <w:top w:val="nil"/>
              <w:left w:val="nil"/>
              <w:bottom w:val="nil"/>
              <w:right w:val="nil"/>
            </w:tcBorders>
          </w:tcPr>
          <w:p w14:paraId="220A63B4"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642 </w:t>
            </w:r>
          </w:p>
        </w:tc>
        <w:tc>
          <w:tcPr>
            <w:tcW w:w="945" w:type="dxa"/>
            <w:tcBorders>
              <w:top w:val="nil"/>
              <w:left w:val="nil"/>
              <w:bottom w:val="nil"/>
              <w:right w:val="nil"/>
            </w:tcBorders>
          </w:tcPr>
          <w:p w14:paraId="039FAB97"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1,213 </w:t>
            </w:r>
          </w:p>
        </w:tc>
        <w:tc>
          <w:tcPr>
            <w:tcW w:w="946" w:type="dxa"/>
            <w:tcBorders>
              <w:top w:val="nil"/>
              <w:left w:val="nil"/>
              <w:bottom w:val="nil"/>
              <w:right w:val="nil"/>
            </w:tcBorders>
          </w:tcPr>
          <w:p w14:paraId="1F866001"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962 </w:t>
            </w:r>
          </w:p>
        </w:tc>
        <w:tc>
          <w:tcPr>
            <w:tcW w:w="945" w:type="dxa"/>
            <w:tcBorders>
              <w:top w:val="nil"/>
              <w:left w:val="nil"/>
              <w:bottom w:val="nil"/>
              <w:right w:val="nil"/>
            </w:tcBorders>
          </w:tcPr>
          <w:p w14:paraId="011DB6EC"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337 </w:t>
            </w:r>
          </w:p>
        </w:tc>
      </w:tr>
      <w:tr w:rsidR="0002785B" w14:paraId="30762BE7" w14:textId="77777777" w:rsidTr="0002785B">
        <w:trPr>
          <w:trHeight w:val="319"/>
        </w:trPr>
        <w:tc>
          <w:tcPr>
            <w:tcW w:w="2933" w:type="dxa"/>
            <w:tcBorders>
              <w:top w:val="nil"/>
              <w:left w:val="nil"/>
              <w:bottom w:val="nil"/>
              <w:right w:val="nil"/>
            </w:tcBorders>
          </w:tcPr>
          <w:p w14:paraId="360E0FF3" w14:textId="77777777" w:rsidR="0002785B" w:rsidRDefault="0002785B">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 xml:space="preserve">　　短期借入金</w:t>
            </w:r>
          </w:p>
        </w:tc>
        <w:tc>
          <w:tcPr>
            <w:tcW w:w="945" w:type="dxa"/>
            <w:tcBorders>
              <w:top w:val="nil"/>
              <w:left w:val="nil"/>
              <w:bottom w:val="nil"/>
              <w:right w:val="nil"/>
            </w:tcBorders>
          </w:tcPr>
          <w:p w14:paraId="5486A86E"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1,070 </w:t>
            </w:r>
          </w:p>
        </w:tc>
        <w:tc>
          <w:tcPr>
            <w:tcW w:w="946" w:type="dxa"/>
            <w:tcBorders>
              <w:top w:val="nil"/>
              <w:left w:val="nil"/>
              <w:bottom w:val="nil"/>
              <w:right w:val="nil"/>
            </w:tcBorders>
          </w:tcPr>
          <w:p w14:paraId="4CF864EB"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1,070 </w:t>
            </w:r>
          </w:p>
        </w:tc>
        <w:tc>
          <w:tcPr>
            <w:tcW w:w="946" w:type="dxa"/>
            <w:tcBorders>
              <w:top w:val="nil"/>
              <w:left w:val="nil"/>
              <w:bottom w:val="nil"/>
              <w:right w:val="nil"/>
            </w:tcBorders>
          </w:tcPr>
          <w:p w14:paraId="704466DB"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1,070 </w:t>
            </w:r>
          </w:p>
        </w:tc>
        <w:tc>
          <w:tcPr>
            <w:tcW w:w="945" w:type="dxa"/>
            <w:tcBorders>
              <w:top w:val="nil"/>
              <w:left w:val="nil"/>
              <w:bottom w:val="nil"/>
              <w:right w:val="nil"/>
            </w:tcBorders>
          </w:tcPr>
          <w:p w14:paraId="0B2AD773"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1,070 </w:t>
            </w:r>
          </w:p>
        </w:tc>
        <w:tc>
          <w:tcPr>
            <w:tcW w:w="946" w:type="dxa"/>
            <w:tcBorders>
              <w:top w:val="nil"/>
              <w:left w:val="nil"/>
              <w:bottom w:val="nil"/>
              <w:right w:val="nil"/>
            </w:tcBorders>
          </w:tcPr>
          <w:p w14:paraId="0597FBDF"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2,270 </w:t>
            </w:r>
          </w:p>
        </w:tc>
        <w:tc>
          <w:tcPr>
            <w:tcW w:w="945" w:type="dxa"/>
            <w:tcBorders>
              <w:top w:val="nil"/>
              <w:left w:val="nil"/>
              <w:bottom w:val="nil"/>
              <w:right w:val="nil"/>
            </w:tcBorders>
          </w:tcPr>
          <w:p w14:paraId="32A64A1E"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4,270 </w:t>
            </w:r>
          </w:p>
        </w:tc>
      </w:tr>
      <w:tr w:rsidR="0002785B" w14:paraId="20D35131" w14:textId="77777777" w:rsidTr="0002785B">
        <w:trPr>
          <w:trHeight w:val="319"/>
        </w:trPr>
        <w:tc>
          <w:tcPr>
            <w:tcW w:w="2933" w:type="dxa"/>
            <w:tcBorders>
              <w:top w:val="nil"/>
              <w:left w:val="nil"/>
              <w:bottom w:val="nil"/>
              <w:right w:val="nil"/>
            </w:tcBorders>
          </w:tcPr>
          <w:p w14:paraId="407F0FF0" w14:textId="77777777" w:rsidR="0002785B" w:rsidRDefault="0002785B">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 xml:space="preserve">　固定負債</w:t>
            </w:r>
          </w:p>
        </w:tc>
        <w:tc>
          <w:tcPr>
            <w:tcW w:w="945" w:type="dxa"/>
            <w:tcBorders>
              <w:top w:val="nil"/>
              <w:left w:val="nil"/>
              <w:bottom w:val="nil"/>
              <w:right w:val="nil"/>
            </w:tcBorders>
          </w:tcPr>
          <w:p w14:paraId="65934DEA"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31,660 </w:t>
            </w:r>
          </w:p>
        </w:tc>
        <w:tc>
          <w:tcPr>
            <w:tcW w:w="946" w:type="dxa"/>
            <w:tcBorders>
              <w:top w:val="nil"/>
              <w:left w:val="nil"/>
              <w:bottom w:val="nil"/>
              <w:right w:val="nil"/>
            </w:tcBorders>
          </w:tcPr>
          <w:p w14:paraId="5F210124"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30,916 </w:t>
            </w:r>
          </w:p>
        </w:tc>
        <w:tc>
          <w:tcPr>
            <w:tcW w:w="946" w:type="dxa"/>
            <w:tcBorders>
              <w:top w:val="nil"/>
              <w:left w:val="nil"/>
              <w:bottom w:val="nil"/>
              <w:right w:val="nil"/>
            </w:tcBorders>
          </w:tcPr>
          <w:p w14:paraId="1035BAF1"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30,001 </w:t>
            </w:r>
          </w:p>
        </w:tc>
        <w:tc>
          <w:tcPr>
            <w:tcW w:w="945" w:type="dxa"/>
            <w:tcBorders>
              <w:top w:val="nil"/>
              <w:left w:val="nil"/>
              <w:bottom w:val="nil"/>
              <w:right w:val="nil"/>
            </w:tcBorders>
          </w:tcPr>
          <w:p w14:paraId="78516280"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29,460 </w:t>
            </w:r>
          </w:p>
        </w:tc>
        <w:tc>
          <w:tcPr>
            <w:tcW w:w="946" w:type="dxa"/>
            <w:tcBorders>
              <w:top w:val="nil"/>
              <w:left w:val="nil"/>
              <w:bottom w:val="nil"/>
              <w:right w:val="nil"/>
            </w:tcBorders>
          </w:tcPr>
          <w:p w14:paraId="653CB61E"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28,095 </w:t>
            </w:r>
          </w:p>
        </w:tc>
        <w:tc>
          <w:tcPr>
            <w:tcW w:w="945" w:type="dxa"/>
            <w:tcBorders>
              <w:top w:val="nil"/>
              <w:left w:val="nil"/>
              <w:bottom w:val="nil"/>
              <w:right w:val="nil"/>
            </w:tcBorders>
          </w:tcPr>
          <w:p w14:paraId="65239335"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28,856 </w:t>
            </w:r>
          </w:p>
        </w:tc>
      </w:tr>
      <w:tr w:rsidR="0002785B" w14:paraId="16120B9F" w14:textId="77777777" w:rsidTr="0002785B">
        <w:trPr>
          <w:trHeight w:val="319"/>
        </w:trPr>
        <w:tc>
          <w:tcPr>
            <w:tcW w:w="2933" w:type="dxa"/>
            <w:tcBorders>
              <w:top w:val="nil"/>
              <w:left w:val="nil"/>
              <w:bottom w:val="nil"/>
              <w:right w:val="nil"/>
            </w:tcBorders>
          </w:tcPr>
          <w:p w14:paraId="65DE7EB8" w14:textId="77777777" w:rsidR="0002785B" w:rsidRDefault="0002785B">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 xml:space="preserve">　　長期借入金</w:t>
            </w:r>
          </w:p>
        </w:tc>
        <w:tc>
          <w:tcPr>
            <w:tcW w:w="945" w:type="dxa"/>
            <w:tcBorders>
              <w:top w:val="nil"/>
              <w:left w:val="nil"/>
              <w:bottom w:val="nil"/>
              <w:right w:val="nil"/>
            </w:tcBorders>
          </w:tcPr>
          <w:p w14:paraId="23B04258"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4,548 </w:t>
            </w:r>
          </w:p>
        </w:tc>
        <w:tc>
          <w:tcPr>
            <w:tcW w:w="946" w:type="dxa"/>
            <w:tcBorders>
              <w:top w:val="nil"/>
              <w:left w:val="nil"/>
              <w:bottom w:val="nil"/>
              <w:right w:val="nil"/>
            </w:tcBorders>
          </w:tcPr>
          <w:p w14:paraId="3BEDFA38"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4,022 </w:t>
            </w:r>
          </w:p>
        </w:tc>
        <w:tc>
          <w:tcPr>
            <w:tcW w:w="946" w:type="dxa"/>
            <w:tcBorders>
              <w:top w:val="nil"/>
              <w:left w:val="nil"/>
              <w:bottom w:val="nil"/>
              <w:right w:val="nil"/>
            </w:tcBorders>
          </w:tcPr>
          <w:p w14:paraId="33A4FE6D"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3,497 </w:t>
            </w:r>
          </w:p>
        </w:tc>
        <w:tc>
          <w:tcPr>
            <w:tcW w:w="945" w:type="dxa"/>
            <w:tcBorders>
              <w:top w:val="nil"/>
              <w:left w:val="nil"/>
              <w:bottom w:val="nil"/>
              <w:right w:val="nil"/>
            </w:tcBorders>
          </w:tcPr>
          <w:p w14:paraId="5BC16B65"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2,970 </w:t>
            </w:r>
          </w:p>
        </w:tc>
        <w:tc>
          <w:tcPr>
            <w:tcW w:w="946" w:type="dxa"/>
            <w:tcBorders>
              <w:top w:val="nil"/>
              <w:left w:val="nil"/>
              <w:bottom w:val="nil"/>
              <w:right w:val="nil"/>
            </w:tcBorders>
          </w:tcPr>
          <w:p w14:paraId="2641ECB1"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2,445 </w:t>
            </w:r>
          </w:p>
        </w:tc>
        <w:tc>
          <w:tcPr>
            <w:tcW w:w="945" w:type="dxa"/>
            <w:tcBorders>
              <w:top w:val="nil"/>
              <w:left w:val="nil"/>
              <w:bottom w:val="nil"/>
              <w:right w:val="nil"/>
            </w:tcBorders>
          </w:tcPr>
          <w:p w14:paraId="4A220476"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3,424 </w:t>
            </w:r>
          </w:p>
        </w:tc>
      </w:tr>
      <w:tr w:rsidR="0002785B" w14:paraId="20FD816B" w14:textId="77777777" w:rsidTr="0002785B">
        <w:trPr>
          <w:trHeight w:val="319"/>
        </w:trPr>
        <w:tc>
          <w:tcPr>
            <w:tcW w:w="2933" w:type="dxa"/>
            <w:tcBorders>
              <w:top w:val="nil"/>
              <w:left w:val="nil"/>
              <w:bottom w:val="nil"/>
              <w:right w:val="nil"/>
            </w:tcBorders>
          </w:tcPr>
          <w:p w14:paraId="4D5483B0" w14:textId="77777777" w:rsidR="0002785B" w:rsidRDefault="0002785B">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純資産</w:t>
            </w:r>
          </w:p>
        </w:tc>
        <w:tc>
          <w:tcPr>
            <w:tcW w:w="945" w:type="dxa"/>
            <w:tcBorders>
              <w:top w:val="nil"/>
              <w:left w:val="nil"/>
              <w:bottom w:val="nil"/>
              <w:right w:val="nil"/>
            </w:tcBorders>
          </w:tcPr>
          <w:p w14:paraId="3E4CE83B"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29,125 </w:t>
            </w:r>
          </w:p>
        </w:tc>
        <w:tc>
          <w:tcPr>
            <w:tcW w:w="946" w:type="dxa"/>
            <w:tcBorders>
              <w:top w:val="nil"/>
              <w:left w:val="nil"/>
              <w:bottom w:val="nil"/>
              <w:right w:val="nil"/>
            </w:tcBorders>
          </w:tcPr>
          <w:p w14:paraId="2775EB7D"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29,188 </w:t>
            </w:r>
          </w:p>
        </w:tc>
        <w:tc>
          <w:tcPr>
            <w:tcW w:w="946" w:type="dxa"/>
            <w:tcBorders>
              <w:top w:val="nil"/>
              <w:left w:val="nil"/>
              <w:bottom w:val="nil"/>
              <w:right w:val="nil"/>
            </w:tcBorders>
          </w:tcPr>
          <w:p w14:paraId="71D7DBE5"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28,996 </w:t>
            </w:r>
          </w:p>
        </w:tc>
        <w:tc>
          <w:tcPr>
            <w:tcW w:w="945" w:type="dxa"/>
            <w:tcBorders>
              <w:top w:val="nil"/>
              <w:left w:val="nil"/>
              <w:bottom w:val="nil"/>
              <w:right w:val="nil"/>
            </w:tcBorders>
          </w:tcPr>
          <w:p w14:paraId="011BD6F5"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29,396 </w:t>
            </w:r>
          </w:p>
        </w:tc>
        <w:tc>
          <w:tcPr>
            <w:tcW w:w="946" w:type="dxa"/>
            <w:tcBorders>
              <w:top w:val="nil"/>
              <w:left w:val="nil"/>
              <w:bottom w:val="nil"/>
              <w:right w:val="nil"/>
            </w:tcBorders>
          </w:tcPr>
          <w:p w14:paraId="241224BC"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28,790 </w:t>
            </w:r>
          </w:p>
        </w:tc>
        <w:tc>
          <w:tcPr>
            <w:tcW w:w="945" w:type="dxa"/>
            <w:tcBorders>
              <w:top w:val="nil"/>
              <w:left w:val="nil"/>
              <w:bottom w:val="nil"/>
              <w:right w:val="nil"/>
            </w:tcBorders>
          </w:tcPr>
          <w:p w14:paraId="67180ED2"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28,402 </w:t>
            </w:r>
          </w:p>
        </w:tc>
      </w:tr>
      <w:tr w:rsidR="0002785B" w14:paraId="33BEE468" w14:textId="77777777" w:rsidTr="0002785B">
        <w:trPr>
          <w:trHeight w:val="319"/>
        </w:trPr>
        <w:tc>
          <w:tcPr>
            <w:tcW w:w="2933" w:type="dxa"/>
            <w:tcBorders>
              <w:top w:val="nil"/>
              <w:left w:val="nil"/>
              <w:bottom w:val="nil"/>
              <w:right w:val="nil"/>
            </w:tcBorders>
          </w:tcPr>
          <w:p w14:paraId="385AB00D" w14:textId="77777777" w:rsidR="0002785B" w:rsidRDefault="0002785B">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 xml:space="preserve">　自己資本</w:t>
            </w:r>
          </w:p>
        </w:tc>
        <w:tc>
          <w:tcPr>
            <w:tcW w:w="945" w:type="dxa"/>
            <w:tcBorders>
              <w:top w:val="nil"/>
              <w:left w:val="nil"/>
              <w:bottom w:val="nil"/>
              <w:right w:val="nil"/>
            </w:tcBorders>
          </w:tcPr>
          <w:p w14:paraId="0A20B5D2"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25,596 </w:t>
            </w:r>
          </w:p>
        </w:tc>
        <w:tc>
          <w:tcPr>
            <w:tcW w:w="946" w:type="dxa"/>
            <w:tcBorders>
              <w:top w:val="nil"/>
              <w:left w:val="nil"/>
              <w:bottom w:val="nil"/>
              <w:right w:val="nil"/>
            </w:tcBorders>
          </w:tcPr>
          <w:p w14:paraId="23EBFDA0"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26,016 </w:t>
            </w:r>
          </w:p>
        </w:tc>
        <w:tc>
          <w:tcPr>
            <w:tcW w:w="946" w:type="dxa"/>
            <w:tcBorders>
              <w:top w:val="nil"/>
              <w:left w:val="nil"/>
              <w:bottom w:val="nil"/>
              <w:right w:val="nil"/>
            </w:tcBorders>
          </w:tcPr>
          <w:p w14:paraId="2F6DAFC7"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26,538 </w:t>
            </w:r>
          </w:p>
        </w:tc>
        <w:tc>
          <w:tcPr>
            <w:tcW w:w="945" w:type="dxa"/>
            <w:tcBorders>
              <w:top w:val="nil"/>
              <w:left w:val="nil"/>
              <w:bottom w:val="nil"/>
              <w:right w:val="nil"/>
            </w:tcBorders>
          </w:tcPr>
          <w:p w14:paraId="1DFD382B"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26,645 </w:t>
            </w:r>
          </w:p>
        </w:tc>
        <w:tc>
          <w:tcPr>
            <w:tcW w:w="946" w:type="dxa"/>
            <w:tcBorders>
              <w:top w:val="nil"/>
              <w:left w:val="nil"/>
              <w:bottom w:val="nil"/>
              <w:right w:val="nil"/>
            </w:tcBorders>
          </w:tcPr>
          <w:p w14:paraId="1660790E"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27,327 </w:t>
            </w:r>
          </w:p>
        </w:tc>
        <w:tc>
          <w:tcPr>
            <w:tcW w:w="945" w:type="dxa"/>
            <w:tcBorders>
              <w:top w:val="nil"/>
              <w:left w:val="nil"/>
              <w:bottom w:val="nil"/>
              <w:right w:val="nil"/>
            </w:tcBorders>
          </w:tcPr>
          <w:p w14:paraId="0E10C0BE"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26,994 </w:t>
            </w:r>
          </w:p>
        </w:tc>
      </w:tr>
      <w:tr w:rsidR="0002785B" w14:paraId="01F88EC3" w14:textId="77777777" w:rsidTr="0002785B">
        <w:trPr>
          <w:trHeight w:val="319"/>
        </w:trPr>
        <w:tc>
          <w:tcPr>
            <w:tcW w:w="2933" w:type="dxa"/>
            <w:tcBorders>
              <w:top w:val="nil"/>
              <w:left w:val="nil"/>
              <w:bottom w:val="nil"/>
              <w:right w:val="nil"/>
            </w:tcBorders>
          </w:tcPr>
          <w:p w14:paraId="3D4D4A24" w14:textId="77777777" w:rsidR="0002785B" w:rsidRDefault="0002785B">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 xml:space="preserve">　　利益剰余金</w:t>
            </w:r>
          </w:p>
        </w:tc>
        <w:tc>
          <w:tcPr>
            <w:tcW w:w="945" w:type="dxa"/>
            <w:tcBorders>
              <w:top w:val="nil"/>
              <w:left w:val="nil"/>
              <w:bottom w:val="nil"/>
              <w:right w:val="nil"/>
            </w:tcBorders>
          </w:tcPr>
          <w:p w14:paraId="5922112E"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17,098 </w:t>
            </w:r>
          </w:p>
        </w:tc>
        <w:tc>
          <w:tcPr>
            <w:tcW w:w="946" w:type="dxa"/>
            <w:tcBorders>
              <w:top w:val="nil"/>
              <w:left w:val="nil"/>
              <w:bottom w:val="nil"/>
              <w:right w:val="nil"/>
            </w:tcBorders>
          </w:tcPr>
          <w:p w14:paraId="0AFA0434"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17,519 </w:t>
            </w:r>
          </w:p>
        </w:tc>
        <w:tc>
          <w:tcPr>
            <w:tcW w:w="946" w:type="dxa"/>
            <w:tcBorders>
              <w:top w:val="nil"/>
              <w:left w:val="nil"/>
              <w:bottom w:val="nil"/>
              <w:right w:val="nil"/>
            </w:tcBorders>
          </w:tcPr>
          <w:p w14:paraId="34800759"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18,041 </w:t>
            </w:r>
          </w:p>
        </w:tc>
        <w:tc>
          <w:tcPr>
            <w:tcW w:w="945" w:type="dxa"/>
            <w:tcBorders>
              <w:top w:val="nil"/>
              <w:left w:val="nil"/>
              <w:bottom w:val="nil"/>
              <w:right w:val="nil"/>
            </w:tcBorders>
          </w:tcPr>
          <w:p w14:paraId="2EA6AD9C"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18,150 </w:t>
            </w:r>
          </w:p>
        </w:tc>
        <w:tc>
          <w:tcPr>
            <w:tcW w:w="946" w:type="dxa"/>
            <w:tcBorders>
              <w:top w:val="nil"/>
              <w:left w:val="nil"/>
              <w:bottom w:val="nil"/>
              <w:right w:val="nil"/>
            </w:tcBorders>
          </w:tcPr>
          <w:p w14:paraId="4B5F1010"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18,832 </w:t>
            </w:r>
          </w:p>
        </w:tc>
        <w:tc>
          <w:tcPr>
            <w:tcW w:w="945" w:type="dxa"/>
            <w:tcBorders>
              <w:top w:val="nil"/>
              <w:left w:val="nil"/>
              <w:bottom w:val="nil"/>
              <w:right w:val="nil"/>
            </w:tcBorders>
          </w:tcPr>
          <w:p w14:paraId="18F82037"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18,500 </w:t>
            </w:r>
          </w:p>
        </w:tc>
      </w:tr>
      <w:tr w:rsidR="0002785B" w14:paraId="0EF082F8" w14:textId="77777777" w:rsidTr="0002785B">
        <w:trPr>
          <w:trHeight w:val="319"/>
        </w:trPr>
        <w:tc>
          <w:tcPr>
            <w:tcW w:w="2933" w:type="dxa"/>
            <w:tcBorders>
              <w:top w:val="nil"/>
              <w:left w:val="nil"/>
              <w:bottom w:val="single" w:sz="6" w:space="0" w:color="auto"/>
              <w:right w:val="nil"/>
            </w:tcBorders>
          </w:tcPr>
          <w:p w14:paraId="37898BD5" w14:textId="77777777" w:rsidR="0002785B" w:rsidRDefault="0002785B">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負債・純資産</w:t>
            </w:r>
          </w:p>
        </w:tc>
        <w:tc>
          <w:tcPr>
            <w:tcW w:w="945" w:type="dxa"/>
            <w:tcBorders>
              <w:top w:val="nil"/>
              <w:left w:val="nil"/>
              <w:bottom w:val="single" w:sz="6" w:space="0" w:color="auto"/>
              <w:right w:val="nil"/>
            </w:tcBorders>
          </w:tcPr>
          <w:p w14:paraId="32C63EAD"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67,421 </w:t>
            </w:r>
          </w:p>
        </w:tc>
        <w:tc>
          <w:tcPr>
            <w:tcW w:w="946" w:type="dxa"/>
            <w:tcBorders>
              <w:top w:val="nil"/>
              <w:left w:val="nil"/>
              <w:bottom w:val="single" w:sz="6" w:space="0" w:color="auto"/>
              <w:right w:val="nil"/>
            </w:tcBorders>
          </w:tcPr>
          <w:p w14:paraId="7A5F4A96"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66,398 </w:t>
            </w:r>
          </w:p>
        </w:tc>
        <w:tc>
          <w:tcPr>
            <w:tcW w:w="946" w:type="dxa"/>
            <w:tcBorders>
              <w:top w:val="nil"/>
              <w:left w:val="nil"/>
              <w:bottom w:val="single" w:sz="6" w:space="0" w:color="auto"/>
              <w:right w:val="nil"/>
            </w:tcBorders>
          </w:tcPr>
          <w:p w14:paraId="34BD513B"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65,317 </w:t>
            </w:r>
          </w:p>
        </w:tc>
        <w:tc>
          <w:tcPr>
            <w:tcW w:w="945" w:type="dxa"/>
            <w:tcBorders>
              <w:top w:val="nil"/>
              <w:left w:val="nil"/>
              <w:bottom w:val="single" w:sz="6" w:space="0" w:color="auto"/>
              <w:right w:val="nil"/>
            </w:tcBorders>
          </w:tcPr>
          <w:p w14:paraId="5DE21E45"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65,378 </w:t>
            </w:r>
          </w:p>
        </w:tc>
        <w:tc>
          <w:tcPr>
            <w:tcW w:w="946" w:type="dxa"/>
            <w:tcBorders>
              <w:top w:val="nil"/>
              <w:left w:val="nil"/>
              <w:bottom w:val="single" w:sz="6" w:space="0" w:color="auto"/>
              <w:right w:val="nil"/>
            </w:tcBorders>
          </w:tcPr>
          <w:p w14:paraId="46B0351A"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66,283 </w:t>
            </w:r>
          </w:p>
        </w:tc>
        <w:tc>
          <w:tcPr>
            <w:tcW w:w="945" w:type="dxa"/>
            <w:tcBorders>
              <w:top w:val="nil"/>
              <w:left w:val="nil"/>
              <w:bottom w:val="single" w:sz="6" w:space="0" w:color="auto"/>
              <w:right w:val="nil"/>
            </w:tcBorders>
          </w:tcPr>
          <w:p w14:paraId="70F1FFD5" w14:textId="77777777" w:rsidR="0002785B" w:rsidRPr="00C74F0E" w:rsidRDefault="0002785B">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66,633 </w:t>
            </w:r>
          </w:p>
        </w:tc>
      </w:tr>
    </w:tbl>
    <w:p w14:paraId="2DD44326" w14:textId="348AECB3" w:rsidR="0002785B" w:rsidRDefault="0002785B" w:rsidP="0002785B">
      <w:pPr>
        <w:rPr>
          <w:b/>
          <w:bCs/>
        </w:rPr>
      </w:pPr>
      <w:r>
        <w:rPr>
          <w:rFonts w:hint="eastAsia"/>
        </w:rPr>
        <w:t>出典：よみうりランド社「四半期報告書」より筆者作成。</w:t>
      </w:r>
      <w:r w:rsidR="00B15EF4">
        <w:rPr>
          <w:rFonts w:hint="eastAsia"/>
        </w:rPr>
        <w:t>単位は百万円。</w:t>
      </w:r>
    </w:p>
    <w:p w14:paraId="113AA147" w14:textId="1149D6AB" w:rsidR="007B3065" w:rsidRDefault="007B3065" w:rsidP="0005355D">
      <w:pPr>
        <w:rPr>
          <w:b/>
          <w:bCs/>
        </w:rPr>
      </w:pPr>
    </w:p>
    <w:p w14:paraId="4BBC1FC6" w14:textId="087CF4CC" w:rsidR="007B3065" w:rsidRDefault="007B3065" w:rsidP="007B3065">
      <w:r>
        <w:rPr>
          <w:rFonts w:hint="eastAsia"/>
        </w:rPr>
        <w:t>表1</w:t>
      </w:r>
      <w:r>
        <w:t>9</w:t>
      </w:r>
      <w:r>
        <w:rPr>
          <w:rFonts w:hint="eastAsia"/>
        </w:rPr>
        <w:t xml:space="preserve">　よみうりランド社の</w:t>
      </w:r>
      <w:r>
        <w:t>ROE</w:t>
      </w:r>
      <w:r>
        <w:rPr>
          <w:rFonts w:hint="eastAsia"/>
        </w:rPr>
        <w:t>（純利益率・総資産回転率・財務レバレッジ）</w:t>
      </w:r>
    </w:p>
    <w:tbl>
      <w:tblPr>
        <w:tblW w:w="8364" w:type="dxa"/>
        <w:tblCellMar>
          <w:left w:w="99" w:type="dxa"/>
          <w:right w:w="99" w:type="dxa"/>
        </w:tblCellMar>
        <w:tblLook w:val="04A0" w:firstRow="1" w:lastRow="0" w:firstColumn="1" w:lastColumn="0" w:noHBand="0" w:noVBand="1"/>
      </w:tblPr>
      <w:tblGrid>
        <w:gridCol w:w="4111"/>
        <w:gridCol w:w="1418"/>
        <w:gridCol w:w="1417"/>
        <w:gridCol w:w="1418"/>
      </w:tblGrid>
      <w:tr w:rsidR="007B3065" w:rsidRPr="00F23D0D" w14:paraId="455BF57C" w14:textId="77777777" w:rsidTr="00E0409C">
        <w:trPr>
          <w:trHeight w:val="340"/>
        </w:trPr>
        <w:tc>
          <w:tcPr>
            <w:tcW w:w="4111" w:type="dxa"/>
            <w:tcBorders>
              <w:top w:val="single" w:sz="4" w:space="0" w:color="auto"/>
              <w:left w:val="nil"/>
              <w:bottom w:val="single" w:sz="4" w:space="0" w:color="auto"/>
              <w:right w:val="nil"/>
            </w:tcBorders>
            <w:shd w:val="clear" w:color="auto" w:fill="auto"/>
            <w:noWrap/>
            <w:vAlign w:val="center"/>
            <w:hideMark/>
          </w:tcPr>
          <w:p w14:paraId="0B1BDB6E" w14:textId="77777777" w:rsidR="007B3065" w:rsidRPr="00F23D0D" w:rsidRDefault="007B3065" w:rsidP="00E0409C">
            <w:pPr>
              <w:widowControl/>
              <w:jc w:val="left"/>
              <w:rPr>
                <w:rFonts w:ascii="游ゴシック" w:eastAsia="游ゴシック" w:hAnsi="游ゴシック" w:cs="ＭＳ Ｐゴシック"/>
                <w:b/>
                <w:bCs/>
                <w:color w:val="000000"/>
                <w:kern w:val="0"/>
                <w:sz w:val="20"/>
                <w:szCs w:val="20"/>
              </w:rPr>
            </w:pPr>
            <w:r w:rsidRPr="00F23D0D">
              <w:rPr>
                <w:rFonts w:ascii="游ゴシック" w:eastAsia="游ゴシック" w:hAnsi="游ゴシック" w:cs="ＭＳ Ｐゴシック" w:hint="eastAsia"/>
                <w:b/>
                <w:bCs/>
                <w:color w:val="000000"/>
                <w:kern w:val="0"/>
                <w:sz w:val="20"/>
                <w:szCs w:val="20"/>
              </w:rPr>
              <w:t xml:space="preserve">　</w:t>
            </w:r>
          </w:p>
        </w:tc>
        <w:tc>
          <w:tcPr>
            <w:tcW w:w="1418" w:type="dxa"/>
            <w:tcBorders>
              <w:top w:val="single" w:sz="4" w:space="0" w:color="auto"/>
              <w:left w:val="nil"/>
              <w:bottom w:val="single" w:sz="4" w:space="0" w:color="auto"/>
              <w:right w:val="nil"/>
            </w:tcBorders>
            <w:shd w:val="clear" w:color="auto" w:fill="auto"/>
            <w:noWrap/>
            <w:vAlign w:val="center"/>
            <w:hideMark/>
          </w:tcPr>
          <w:p w14:paraId="46BDBF09" w14:textId="580BF5E9" w:rsidR="007B3065" w:rsidRPr="00C74F0E" w:rsidRDefault="007B3065" w:rsidP="00E0409C">
            <w:pPr>
              <w:widowControl/>
              <w:jc w:val="center"/>
              <w:rPr>
                <w:rFonts w:ascii="Century" w:eastAsia="游ゴシック" w:hAnsi="Century" w:cs="ＭＳ Ｐゴシック"/>
                <w:b/>
                <w:bCs/>
                <w:color w:val="000000"/>
                <w:kern w:val="0"/>
                <w:sz w:val="20"/>
                <w:szCs w:val="20"/>
              </w:rPr>
            </w:pPr>
            <w:r w:rsidRPr="00C74F0E">
              <w:rPr>
                <w:rFonts w:ascii="Century" w:eastAsia="游ゴシック" w:hAnsi="Century" w:cs="ＭＳ Ｐゴシック"/>
                <w:b/>
                <w:bCs/>
                <w:color w:val="000000"/>
                <w:kern w:val="0"/>
                <w:sz w:val="20"/>
                <w:szCs w:val="20"/>
              </w:rPr>
              <w:t>2018</w:t>
            </w:r>
          </w:p>
        </w:tc>
        <w:tc>
          <w:tcPr>
            <w:tcW w:w="1417" w:type="dxa"/>
            <w:tcBorders>
              <w:top w:val="single" w:sz="4" w:space="0" w:color="auto"/>
              <w:left w:val="nil"/>
              <w:bottom w:val="single" w:sz="4" w:space="0" w:color="auto"/>
              <w:right w:val="nil"/>
            </w:tcBorders>
            <w:shd w:val="clear" w:color="auto" w:fill="auto"/>
            <w:noWrap/>
            <w:vAlign w:val="center"/>
            <w:hideMark/>
          </w:tcPr>
          <w:p w14:paraId="78569F52" w14:textId="52128083" w:rsidR="007B3065" w:rsidRPr="00C74F0E" w:rsidRDefault="007B3065" w:rsidP="00E0409C">
            <w:pPr>
              <w:widowControl/>
              <w:jc w:val="center"/>
              <w:rPr>
                <w:rFonts w:ascii="Century" w:eastAsia="游ゴシック" w:hAnsi="Century" w:cs="ＭＳ Ｐゴシック"/>
                <w:b/>
                <w:bCs/>
                <w:color w:val="000000"/>
                <w:kern w:val="0"/>
                <w:sz w:val="20"/>
                <w:szCs w:val="20"/>
              </w:rPr>
            </w:pPr>
            <w:r w:rsidRPr="00C74F0E">
              <w:rPr>
                <w:rFonts w:ascii="Century" w:eastAsia="游ゴシック" w:hAnsi="Century" w:cs="ＭＳ Ｐゴシック"/>
                <w:b/>
                <w:bCs/>
                <w:color w:val="000000"/>
                <w:kern w:val="0"/>
                <w:sz w:val="20"/>
                <w:szCs w:val="20"/>
              </w:rPr>
              <w:t>2019</w:t>
            </w:r>
          </w:p>
        </w:tc>
        <w:tc>
          <w:tcPr>
            <w:tcW w:w="1418" w:type="dxa"/>
            <w:tcBorders>
              <w:top w:val="single" w:sz="4" w:space="0" w:color="auto"/>
              <w:left w:val="nil"/>
              <w:bottom w:val="single" w:sz="4" w:space="0" w:color="auto"/>
              <w:right w:val="nil"/>
            </w:tcBorders>
            <w:shd w:val="clear" w:color="auto" w:fill="auto"/>
            <w:noWrap/>
            <w:vAlign w:val="center"/>
            <w:hideMark/>
          </w:tcPr>
          <w:p w14:paraId="2E2B11F0" w14:textId="062637D8" w:rsidR="007B3065" w:rsidRPr="00C74F0E" w:rsidRDefault="007B3065" w:rsidP="00E0409C">
            <w:pPr>
              <w:widowControl/>
              <w:jc w:val="center"/>
              <w:rPr>
                <w:rFonts w:ascii="Century" w:eastAsia="游ゴシック" w:hAnsi="Century" w:cs="ＭＳ Ｐゴシック"/>
                <w:b/>
                <w:bCs/>
                <w:color w:val="000000"/>
                <w:kern w:val="0"/>
                <w:sz w:val="20"/>
                <w:szCs w:val="20"/>
              </w:rPr>
            </w:pPr>
            <w:r w:rsidRPr="00C74F0E">
              <w:rPr>
                <w:rFonts w:ascii="Century" w:eastAsia="游ゴシック" w:hAnsi="Century" w:cs="ＭＳ Ｐゴシック"/>
                <w:b/>
                <w:bCs/>
                <w:color w:val="000000"/>
                <w:kern w:val="0"/>
                <w:sz w:val="20"/>
                <w:szCs w:val="20"/>
              </w:rPr>
              <w:t>2020</w:t>
            </w:r>
          </w:p>
        </w:tc>
      </w:tr>
      <w:tr w:rsidR="007B3065" w:rsidRPr="00F23D0D" w14:paraId="4291E40B" w14:textId="77777777" w:rsidTr="00E0409C">
        <w:trPr>
          <w:trHeight w:val="340"/>
        </w:trPr>
        <w:tc>
          <w:tcPr>
            <w:tcW w:w="4111" w:type="dxa"/>
            <w:tcBorders>
              <w:top w:val="nil"/>
              <w:left w:val="nil"/>
              <w:bottom w:val="nil"/>
              <w:right w:val="nil"/>
            </w:tcBorders>
            <w:shd w:val="clear" w:color="auto" w:fill="auto"/>
            <w:noWrap/>
            <w:vAlign w:val="center"/>
            <w:hideMark/>
          </w:tcPr>
          <w:p w14:paraId="73E572F5" w14:textId="77777777" w:rsidR="007B3065" w:rsidRPr="0024372F" w:rsidRDefault="007B3065" w:rsidP="00E0409C">
            <w:pPr>
              <w:widowControl/>
              <w:jc w:val="left"/>
              <w:rPr>
                <w:rFonts w:asciiTheme="minorEastAsia" w:hAnsiTheme="minorEastAsia" w:cs="ＭＳ Ｐゴシック"/>
                <w:b/>
                <w:bCs/>
                <w:color w:val="000000"/>
                <w:kern w:val="0"/>
                <w:sz w:val="20"/>
                <w:szCs w:val="20"/>
              </w:rPr>
            </w:pPr>
            <w:r w:rsidRPr="0024372F">
              <w:rPr>
                <w:rFonts w:asciiTheme="minorEastAsia" w:hAnsiTheme="minorEastAsia" w:cs="ＭＳ Ｐゴシック" w:hint="eastAsia"/>
                <w:b/>
                <w:bCs/>
                <w:color w:val="000000"/>
                <w:kern w:val="0"/>
                <w:sz w:val="20"/>
                <w:szCs w:val="20"/>
              </w:rPr>
              <w:t>ROEの分解</w:t>
            </w:r>
          </w:p>
        </w:tc>
        <w:tc>
          <w:tcPr>
            <w:tcW w:w="1418" w:type="dxa"/>
            <w:tcBorders>
              <w:top w:val="nil"/>
              <w:left w:val="nil"/>
              <w:bottom w:val="nil"/>
              <w:right w:val="nil"/>
            </w:tcBorders>
            <w:shd w:val="clear" w:color="auto" w:fill="auto"/>
            <w:noWrap/>
            <w:vAlign w:val="center"/>
            <w:hideMark/>
          </w:tcPr>
          <w:p w14:paraId="447803D6" w14:textId="77777777" w:rsidR="007B3065" w:rsidRPr="00C74F0E" w:rsidRDefault="007B3065" w:rsidP="00E0409C">
            <w:pPr>
              <w:widowControl/>
              <w:jc w:val="left"/>
              <w:rPr>
                <w:rFonts w:ascii="Century" w:eastAsia="游ゴシック" w:hAnsi="Century" w:cs="ＭＳ Ｐゴシック"/>
                <w:b/>
                <w:bCs/>
                <w:color w:val="000000"/>
                <w:kern w:val="0"/>
                <w:sz w:val="20"/>
                <w:szCs w:val="20"/>
              </w:rPr>
            </w:pPr>
          </w:p>
        </w:tc>
        <w:tc>
          <w:tcPr>
            <w:tcW w:w="1417" w:type="dxa"/>
            <w:tcBorders>
              <w:top w:val="nil"/>
              <w:left w:val="nil"/>
              <w:bottom w:val="nil"/>
              <w:right w:val="nil"/>
            </w:tcBorders>
            <w:shd w:val="clear" w:color="auto" w:fill="auto"/>
            <w:noWrap/>
            <w:vAlign w:val="center"/>
            <w:hideMark/>
          </w:tcPr>
          <w:p w14:paraId="4B37F2B2" w14:textId="77777777" w:rsidR="007B3065" w:rsidRPr="00C74F0E" w:rsidRDefault="007B3065" w:rsidP="00E0409C">
            <w:pPr>
              <w:widowControl/>
              <w:jc w:val="left"/>
              <w:rPr>
                <w:rFonts w:ascii="Century" w:eastAsia="Times New Roman" w:hAnsi="Century" w:cs="Times New Roman"/>
                <w:kern w:val="0"/>
                <w:sz w:val="20"/>
                <w:szCs w:val="20"/>
              </w:rPr>
            </w:pPr>
          </w:p>
        </w:tc>
        <w:tc>
          <w:tcPr>
            <w:tcW w:w="1418" w:type="dxa"/>
            <w:tcBorders>
              <w:top w:val="nil"/>
              <w:left w:val="nil"/>
              <w:bottom w:val="nil"/>
              <w:right w:val="nil"/>
            </w:tcBorders>
            <w:shd w:val="clear" w:color="auto" w:fill="auto"/>
            <w:noWrap/>
            <w:vAlign w:val="center"/>
            <w:hideMark/>
          </w:tcPr>
          <w:p w14:paraId="3C667B38" w14:textId="77777777" w:rsidR="007B3065" w:rsidRPr="00C74F0E" w:rsidRDefault="007B3065" w:rsidP="00E0409C">
            <w:pPr>
              <w:widowControl/>
              <w:jc w:val="left"/>
              <w:rPr>
                <w:rFonts w:ascii="Century" w:eastAsia="Times New Roman" w:hAnsi="Century" w:cs="Times New Roman"/>
                <w:kern w:val="0"/>
                <w:sz w:val="20"/>
                <w:szCs w:val="20"/>
              </w:rPr>
            </w:pPr>
          </w:p>
        </w:tc>
      </w:tr>
      <w:tr w:rsidR="007B3065" w:rsidRPr="00F23D0D" w14:paraId="3B1F94D2" w14:textId="77777777" w:rsidTr="00E0409C">
        <w:trPr>
          <w:trHeight w:val="340"/>
        </w:trPr>
        <w:tc>
          <w:tcPr>
            <w:tcW w:w="4111" w:type="dxa"/>
            <w:tcBorders>
              <w:top w:val="nil"/>
              <w:left w:val="nil"/>
              <w:bottom w:val="nil"/>
              <w:right w:val="nil"/>
            </w:tcBorders>
            <w:shd w:val="clear" w:color="auto" w:fill="auto"/>
            <w:noWrap/>
            <w:vAlign w:val="center"/>
            <w:hideMark/>
          </w:tcPr>
          <w:p w14:paraId="71E64585" w14:textId="77777777" w:rsidR="007B3065" w:rsidRPr="0024372F" w:rsidRDefault="007B3065" w:rsidP="007B3065">
            <w:pPr>
              <w:widowControl/>
              <w:jc w:val="left"/>
              <w:rPr>
                <w:rFonts w:asciiTheme="minorEastAsia" w:hAnsiTheme="minorEastAsia" w:cs="ＭＳ Ｐゴシック"/>
                <w:b/>
                <w:bCs/>
                <w:color w:val="000000"/>
                <w:kern w:val="0"/>
                <w:sz w:val="20"/>
                <w:szCs w:val="20"/>
              </w:rPr>
            </w:pPr>
            <w:r w:rsidRPr="0024372F">
              <w:rPr>
                <w:rFonts w:asciiTheme="minorEastAsia" w:hAnsiTheme="minorEastAsia" w:cs="ＭＳ Ｐゴシック" w:hint="eastAsia"/>
                <w:b/>
                <w:bCs/>
                <w:color w:val="000000"/>
                <w:kern w:val="0"/>
                <w:sz w:val="20"/>
                <w:szCs w:val="20"/>
              </w:rPr>
              <w:t>ROE</w:t>
            </w:r>
          </w:p>
        </w:tc>
        <w:tc>
          <w:tcPr>
            <w:tcW w:w="1418" w:type="dxa"/>
            <w:tcBorders>
              <w:top w:val="nil"/>
              <w:left w:val="nil"/>
              <w:bottom w:val="nil"/>
              <w:right w:val="nil"/>
            </w:tcBorders>
            <w:shd w:val="clear" w:color="auto" w:fill="auto"/>
            <w:noWrap/>
            <w:hideMark/>
          </w:tcPr>
          <w:p w14:paraId="2A06031E" w14:textId="34E16C89" w:rsidR="007B3065" w:rsidRPr="00C74F0E" w:rsidRDefault="007B3065" w:rsidP="007B3065">
            <w:pPr>
              <w:widowControl/>
              <w:jc w:val="right"/>
              <w:rPr>
                <w:rFonts w:ascii="Century" w:eastAsia="游ゴシック" w:hAnsi="Century" w:cs="ＭＳ Ｐゴシック"/>
                <w:b/>
                <w:bCs/>
                <w:color w:val="000000"/>
                <w:kern w:val="0"/>
                <w:sz w:val="20"/>
                <w:szCs w:val="20"/>
              </w:rPr>
            </w:pPr>
            <w:r w:rsidRPr="00C74F0E">
              <w:rPr>
                <w:rFonts w:ascii="Century" w:hAnsi="Century"/>
                <w:b/>
                <w:bCs/>
              </w:rPr>
              <w:t>9.4%</w:t>
            </w:r>
          </w:p>
        </w:tc>
        <w:tc>
          <w:tcPr>
            <w:tcW w:w="1417" w:type="dxa"/>
            <w:tcBorders>
              <w:top w:val="nil"/>
              <w:left w:val="nil"/>
              <w:bottom w:val="nil"/>
              <w:right w:val="nil"/>
            </w:tcBorders>
            <w:shd w:val="clear" w:color="auto" w:fill="auto"/>
            <w:noWrap/>
            <w:hideMark/>
          </w:tcPr>
          <w:p w14:paraId="43B25CDB" w14:textId="7194EDA2" w:rsidR="007B3065" w:rsidRPr="00C74F0E" w:rsidRDefault="007B3065" w:rsidP="007B3065">
            <w:pPr>
              <w:widowControl/>
              <w:jc w:val="right"/>
              <w:rPr>
                <w:rFonts w:ascii="Century" w:eastAsia="游ゴシック" w:hAnsi="Century" w:cs="ＭＳ Ｐゴシック"/>
                <w:b/>
                <w:bCs/>
                <w:color w:val="000000"/>
                <w:kern w:val="0"/>
                <w:sz w:val="20"/>
                <w:szCs w:val="20"/>
              </w:rPr>
            </w:pPr>
            <w:r w:rsidRPr="00C74F0E">
              <w:rPr>
                <w:rFonts w:ascii="Century" w:hAnsi="Century"/>
                <w:b/>
                <w:bCs/>
              </w:rPr>
              <w:t>8.0%</w:t>
            </w:r>
          </w:p>
        </w:tc>
        <w:tc>
          <w:tcPr>
            <w:tcW w:w="1418" w:type="dxa"/>
            <w:tcBorders>
              <w:top w:val="nil"/>
              <w:left w:val="nil"/>
              <w:bottom w:val="nil"/>
              <w:right w:val="nil"/>
            </w:tcBorders>
            <w:shd w:val="clear" w:color="auto" w:fill="auto"/>
            <w:noWrap/>
            <w:hideMark/>
          </w:tcPr>
          <w:p w14:paraId="2CA117EC" w14:textId="71C06536" w:rsidR="007B3065" w:rsidRPr="00C74F0E" w:rsidRDefault="007B3065" w:rsidP="007B3065">
            <w:pPr>
              <w:widowControl/>
              <w:jc w:val="right"/>
              <w:rPr>
                <w:rFonts w:ascii="Century" w:eastAsia="游ゴシック" w:hAnsi="Century" w:cs="ＭＳ Ｐゴシック"/>
                <w:b/>
                <w:bCs/>
                <w:color w:val="000000"/>
                <w:kern w:val="0"/>
                <w:sz w:val="20"/>
                <w:szCs w:val="20"/>
              </w:rPr>
            </w:pPr>
            <w:r w:rsidRPr="00C74F0E">
              <w:rPr>
                <w:rFonts w:ascii="Century" w:hAnsi="Century"/>
                <w:b/>
                <w:bCs/>
              </w:rPr>
              <w:t>7.4%</w:t>
            </w:r>
          </w:p>
        </w:tc>
      </w:tr>
      <w:tr w:rsidR="007B3065" w:rsidRPr="00F23D0D" w14:paraId="3820724A" w14:textId="77777777" w:rsidTr="00E0409C">
        <w:trPr>
          <w:trHeight w:val="340"/>
        </w:trPr>
        <w:tc>
          <w:tcPr>
            <w:tcW w:w="4111" w:type="dxa"/>
            <w:tcBorders>
              <w:top w:val="nil"/>
              <w:left w:val="nil"/>
              <w:bottom w:val="nil"/>
              <w:right w:val="nil"/>
            </w:tcBorders>
            <w:shd w:val="clear" w:color="auto" w:fill="auto"/>
            <w:noWrap/>
            <w:vAlign w:val="center"/>
            <w:hideMark/>
          </w:tcPr>
          <w:p w14:paraId="459D1F32" w14:textId="77777777" w:rsidR="007B3065" w:rsidRPr="0024372F" w:rsidRDefault="007B3065" w:rsidP="007B3065">
            <w:pPr>
              <w:widowControl/>
              <w:jc w:val="left"/>
              <w:rPr>
                <w:rFonts w:asciiTheme="minorEastAsia" w:hAnsiTheme="minorEastAsia" w:cs="ＭＳ Ｐゴシック"/>
                <w:color w:val="000000"/>
                <w:kern w:val="0"/>
                <w:sz w:val="20"/>
                <w:szCs w:val="20"/>
              </w:rPr>
            </w:pPr>
            <w:r w:rsidRPr="0024372F">
              <w:rPr>
                <w:rFonts w:asciiTheme="minorEastAsia" w:hAnsiTheme="minorEastAsia" w:cs="ＭＳ Ｐゴシック" w:hint="eastAsia"/>
                <w:color w:val="000000"/>
                <w:kern w:val="0"/>
                <w:sz w:val="20"/>
                <w:szCs w:val="20"/>
              </w:rPr>
              <w:t>純利益率</w:t>
            </w:r>
          </w:p>
        </w:tc>
        <w:tc>
          <w:tcPr>
            <w:tcW w:w="1418" w:type="dxa"/>
            <w:tcBorders>
              <w:top w:val="nil"/>
              <w:left w:val="nil"/>
              <w:bottom w:val="nil"/>
              <w:right w:val="nil"/>
            </w:tcBorders>
            <w:shd w:val="clear" w:color="auto" w:fill="auto"/>
            <w:noWrap/>
            <w:hideMark/>
          </w:tcPr>
          <w:p w14:paraId="37C29203" w14:textId="435AFA0C" w:rsidR="007B3065" w:rsidRPr="00C74F0E" w:rsidRDefault="007B3065" w:rsidP="007B3065">
            <w:pPr>
              <w:widowControl/>
              <w:jc w:val="right"/>
              <w:rPr>
                <w:rFonts w:ascii="Century" w:eastAsia="游ゴシック" w:hAnsi="Century" w:cs="ＭＳ Ｐゴシック"/>
                <w:color w:val="000000"/>
                <w:kern w:val="0"/>
                <w:sz w:val="20"/>
                <w:szCs w:val="20"/>
              </w:rPr>
            </w:pPr>
            <w:r w:rsidRPr="00C74F0E">
              <w:rPr>
                <w:rFonts w:ascii="Century" w:hAnsi="Century"/>
              </w:rPr>
              <w:t>12.5%</w:t>
            </w:r>
          </w:p>
        </w:tc>
        <w:tc>
          <w:tcPr>
            <w:tcW w:w="1417" w:type="dxa"/>
            <w:tcBorders>
              <w:top w:val="nil"/>
              <w:left w:val="nil"/>
              <w:bottom w:val="nil"/>
              <w:right w:val="nil"/>
            </w:tcBorders>
            <w:shd w:val="clear" w:color="auto" w:fill="auto"/>
            <w:noWrap/>
            <w:hideMark/>
          </w:tcPr>
          <w:p w14:paraId="3E68568E" w14:textId="3069BE6C" w:rsidR="007B3065" w:rsidRPr="00C74F0E" w:rsidRDefault="007B3065" w:rsidP="007B3065">
            <w:pPr>
              <w:widowControl/>
              <w:jc w:val="right"/>
              <w:rPr>
                <w:rFonts w:ascii="Century" w:eastAsia="游ゴシック" w:hAnsi="Century" w:cs="ＭＳ Ｐゴシック"/>
                <w:color w:val="000000"/>
                <w:kern w:val="0"/>
                <w:sz w:val="20"/>
                <w:szCs w:val="20"/>
              </w:rPr>
            </w:pPr>
            <w:r w:rsidRPr="00C74F0E">
              <w:rPr>
                <w:rFonts w:ascii="Century" w:hAnsi="Century"/>
              </w:rPr>
              <w:t>10.7%</w:t>
            </w:r>
          </w:p>
        </w:tc>
        <w:tc>
          <w:tcPr>
            <w:tcW w:w="1418" w:type="dxa"/>
            <w:tcBorders>
              <w:top w:val="nil"/>
              <w:left w:val="nil"/>
              <w:bottom w:val="nil"/>
              <w:right w:val="nil"/>
            </w:tcBorders>
            <w:shd w:val="clear" w:color="auto" w:fill="auto"/>
            <w:noWrap/>
            <w:hideMark/>
          </w:tcPr>
          <w:p w14:paraId="43CD5AC8" w14:textId="1991A556" w:rsidR="007B3065" w:rsidRPr="00C74F0E" w:rsidRDefault="007B3065" w:rsidP="007B3065">
            <w:pPr>
              <w:widowControl/>
              <w:jc w:val="right"/>
              <w:rPr>
                <w:rFonts w:ascii="Century" w:eastAsia="游ゴシック" w:hAnsi="Century" w:cs="ＭＳ Ｐゴシック"/>
                <w:color w:val="000000"/>
                <w:kern w:val="0"/>
                <w:sz w:val="20"/>
                <w:szCs w:val="20"/>
              </w:rPr>
            </w:pPr>
            <w:r w:rsidRPr="00C74F0E">
              <w:rPr>
                <w:rFonts w:ascii="Century" w:hAnsi="Century"/>
              </w:rPr>
              <w:t>9.5%</w:t>
            </w:r>
          </w:p>
        </w:tc>
      </w:tr>
      <w:tr w:rsidR="007B3065" w:rsidRPr="00F23D0D" w14:paraId="49046050" w14:textId="77777777" w:rsidTr="00E0409C">
        <w:trPr>
          <w:trHeight w:val="340"/>
        </w:trPr>
        <w:tc>
          <w:tcPr>
            <w:tcW w:w="4111" w:type="dxa"/>
            <w:tcBorders>
              <w:top w:val="nil"/>
              <w:left w:val="nil"/>
              <w:bottom w:val="nil"/>
              <w:right w:val="nil"/>
            </w:tcBorders>
            <w:shd w:val="clear" w:color="auto" w:fill="auto"/>
            <w:noWrap/>
            <w:vAlign w:val="center"/>
            <w:hideMark/>
          </w:tcPr>
          <w:p w14:paraId="4FCD4D3C" w14:textId="77777777" w:rsidR="007B3065" w:rsidRPr="0024372F" w:rsidRDefault="007B3065" w:rsidP="007B3065">
            <w:pPr>
              <w:widowControl/>
              <w:jc w:val="left"/>
              <w:rPr>
                <w:rFonts w:asciiTheme="minorEastAsia" w:hAnsiTheme="minorEastAsia" w:cs="ＭＳ Ｐゴシック"/>
                <w:color w:val="000000"/>
                <w:kern w:val="0"/>
                <w:sz w:val="20"/>
                <w:szCs w:val="20"/>
              </w:rPr>
            </w:pPr>
            <w:r w:rsidRPr="0024372F">
              <w:rPr>
                <w:rFonts w:asciiTheme="minorEastAsia" w:hAnsiTheme="minorEastAsia" w:cs="ＭＳ Ｐゴシック" w:hint="eastAsia"/>
                <w:color w:val="000000"/>
                <w:kern w:val="0"/>
                <w:sz w:val="20"/>
                <w:szCs w:val="20"/>
              </w:rPr>
              <w:t>総資産回転率</w:t>
            </w:r>
          </w:p>
        </w:tc>
        <w:tc>
          <w:tcPr>
            <w:tcW w:w="1418" w:type="dxa"/>
            <w:tcBorders>
              <w:top w:val="nil"/>
              <w:left w:val="nil"/>
              <w:bottom w:val="nil"/>
              <w:right w:val="nil"/>
            </w:tcBorders>
            <w:shd w:val="clear" w:color="auto" w:fill="auto"/>
            <w:noWrap/>
            <w:hideMark/>
          </w:tcPr>
          <w:p w14:paraId="1218D429" w14:textId="776192CD" w:rsidR="007B3065" w:rsidRPr="00C74F0E" w:rsidRDefault="007B3065" w:rsidP="007B3065">
            <w:pPr>
              <w:widowControl/>
              <w:jc w:val="right"/>
              <w:rPr>
                <w:rFonts w:ascii="Century" w:eastAsia="游ゴシック" w:hAnsi="Century" w:cs="ＭＳ Ｐゴシック"/>
                <w:color w:val="000000"/>
                <w:kern w:val="0"/>
                <w:sz w:val="20"/>
                <w:szCs w:val="20"/>
              </w:rPr>
            </w:pPr>
            <w:r w:rsidRPr="00C74F0E">
              <w:rPr>
                <w:rFonts w:ascii="Century" w:hAnsi="Century"/>
              </w:rPr>
              <w:t>30.5%</w:t>
            </w:r>
          </w:p>
        </w:tc>
        <w:tc>
          <w:tcPr>
            <w:tcW w:w="1417" w:type="dxa"/>
            <w:tcBorders>
              <w:top w:val="nil"/>
              <w:left w:val="nil"/>
              <w:bottom w:val="nil"/>
              <w:right w:val="nil"/>
            </w:tcBorders>
            <w:shd w:val="clear" w:color="auto" w:fill="auto"/>
            <w:noWrap/>
            <w:hideMark/>
          </w:tcPr>
          <w:p w14:paraId="5D8FE8CF" w14:textId="2A8D2F49" w:rsidR="007B3065" w:rsidRPr="00C74F0E" w:rsidRDefault="007B3065" w:rsidP="007B3065">
            <w:pPr>
              <w:widowControl/>
              <w:jc w:val="right"/>
              <w:rPr>
                <w:rFonts w:ascii="Century" w:eastAsia="游ゴシック" w:hAnsi="Century" w:cs="ＭＳ Ｐゴシック"/>
                <w:color w:val="000000"/>
                <w:kern w:val="0"/>
                <w:sz w:val="20"/>
                <w:szCs w:val="20"/>
              </w:rPr>
            </w:pPr>
            <w:r w:rsidRPr="00C74F0E">
              <w:rPr>
                <w:rFonts w:ascii="Century" w:hAnsi="Century"/>
              </w:rPr>
              <w:t>32.6%</w:t>
            </w:r>
          </w:p>
        </w:tc>
        <w:tc>
          <w:tcPr>
            <w:tcW w:w="1418" w:type="dxa"/>
            <w:tcBorders>
              <w:top w:val="nil"/>
              <w:left w:val="nil"/>
              <w:bottom w:val="nil"/>
              <w:right w:val="nil"/>
            </w:tcBorders>
            <w:shd w:val="clear" w:color="auto" w:fill="auto"/>
            <w:noWrap/>
            <w:hideMark/>
          </w:tcPr>
          <w:p w14:paraId="74E324B6" w14:textId="2D0C0957" w:rsidR="007B3065" w:rsidRPr="00C74F0E" w:rsidRDefault="007B3065" w:rsidP="007B3065">
            <w:pPr>
              <w:widowControl/>
              <w:jc w:val="right"/>
              <w:rPr>
                <w:rFonts w:ascii="Century" w:eastAsia="游ゴシック" w:hAnsi="Century" w:cs="ＭＳ Ｐゴシック"/>
                <w:color w:val="000000"/>
                <w:kern w:val="0"/>
                <w:sz w:val="20"/>
                <w:szCs w:val="20"/>
              </w:rPr>
            </w:pPr>
            <w:r w:rsidRPr="00C74F0E">
              <w:rPr>
                <w:rFonts w:ascii="Century" w:hAnsi="Century"/>
              </w:rPr>
              <w:t>33.6%</w:t>
            </w:r>
          </w:p>
        </w:tc>
      </w:tr>
      <w:tr w:rsidR="007B3065" w:rsidRPr="00F23D0D" w14:paraId="18F1EA8C" w14:textId="77777777" w:rsidTr="00E0409C">
        <w:trPr>
          <w:trHeight w:val="340"/>
        </w:trPr>
        <w:tc>
          <w:tcPr>
            <w:tcW w:w="4111" w:type="dxa"/>
            <w:tcBorders>
              <w:top w:val="nil"/>
              <w:left w:val="nil"/>
              <w:bottom w:val="single" w:sz="4" w:space="0" w:color="auto"/>
              <w:right w:val="nil"/>
            </w:tcBorders>
            <w:shd w:val="clear" w:color="auto" w:fill="auto"/>
            <w:noWrap/>
            <w:vAlign w:val="center"/>
            <w:hideMark/>
          </w:tcPr>
          <w:p w14:paraId="47EFC331" w14:textId="77777777" w:rsidR="007B3065" w:rsidRPr="0024372F" w:rsidRDefault="007B3065" w:rsidP="007B3065">
            <w:pPr>
              <w:widowControl/>
              <w:jc w:val="left"/>
              <w:rPr>
                <w:rFonts w:asciiTheme="minorEastAsia" w:hAnsiTheme="minorEastAsia" w:cs="ＭＳ Ｐゴシック"/>
                <w:color w:val="000000"/>
                <w:kern w:val="0"/>
                <w:sz w:val="20"/>
                <w:szCs w:val="20"/>
              </w:rPr>
            </w:pPr>
            <w:r w:rsidRPr="0024372F">
              <w:rPr>
                <w:rFonts w:asciiTheme="minorEastAsia" w:hAnsiTheme="minorEastAsia" w:cs="ＭＳ Ｐゴシック" w:hint="eastAsia"/>
                <w:color w:val="000000"/>
                <w:kern w:val="0"/>
                <w:sz w:val="20"/>
                <w:szCs w:val="20"/>
              </w:rPr>
              <w:t>財務レバレッジ</w:t>
            </w:r>
          </w:p>
          <w:p w14:paraId="541FF861" w14:textId="77777777" w:rsidR="007B3065" w:rsidRPr="0024372F" w:rsidRDefault="007B3065" w:rsidP="007B3065">
            <w:pPr>
              <w:widowControl/>
              <w:jc w:val="left"/>
              <w:rPr>
                <w:rFonts w:asciiTheme="minorEastAsia" w:hAnsiTheme="minorEastAsia" w:cs="ＭＳ Ｐゴシック"/>
                <w:color w:val="000000"/>
                <w:kern w:val="0"/>
                <w:sz w:val="20"/>
                <w:szCs w:val="20"/>
              </w:rPr>
            </w:pPr>
            <w:r w:rsidRPr="0024372F">
              <w:rPr>
                <w:rFonts w:asciiTheme="minorEastAsia" w:hAnsiTheme="minorEastAsia" w:cs="ＭＳ Ｐゴシック" w:hint="eastAsia"/>
                <w:color w:val="000000"/>
                <w:kern w:val="0"/>
                <w:sz w:val="20"/>
                <w:szCs w:val="20"/>
              </w:rPr>
              <w:t xml:space="preserve">　自己資本比率</w:t>
            </w:r>
          </w:p>
        </w:tc>
        <w:tc>
          <w:tcPr>
            <w:tcW w:w="1418" w:type="dxa"/>
            <w:tcBorders>
              <w:top w:val="nil"/>
              <w:left w:val="nil"/>
              <w:bottom w:val="single" w:sz="4" w:space="0" w:color="auto"/>
              <w:right w:val="nil"/>
            </w:tcBorders>
            <w:shd w:val="clear" w:color="auto" w:fill="auto"/>
            <w:noWrap/>
            <w:hideMark/>
          </w:tcPr>
          <w:p w14:paraId="0AAEA217" w14:textId="77777777" w:rsidR="007B3065" w:rsidRPr="00C74F0E" w:rsidRDefault="007B3065" w:rsidP="007B3065">
            <w:pPr>
              <w:widowControl/>
              <w:jc w:val="right"/>
              <w:rPr>
                <w:rFonts w:ascii="Century" w:hAnsi="Century"/>
              </w:rPr>
            </w:pPr>
            <w:r w:rsidRPr="00C74F0E">
              <w:rPr>
                <w:rFonts w:ascii="Century" w:hAnsi="Century"/>
              </w:rPr>
              <w:t>2.5</w:t>
            </w:r>
          </w:p>
          <w:p w14:paraId="3608A75E" w14:textId="2E55F588" w:rsidR="007B3065" w:rsidRPr="00C74F0E" w:rsidRDefault="007B3065" w:rsidP="007B3065">
            <w:pPr>
              <w:widowControl/>
              <w:jc w:val="right"/>
              <w:rPr>
                <w:rFonts w:ascii="Century" w:eastAsia="游ゴシック" w:hAnsi="Century" w:cs="ＭＳ Ｐゴシック"/>
                <w:color w:val="000000"/>
                <w:kern w:val="0"/>
                <w:sz w:val="20"/>
                <w:szCs w:val="20"/>
              </w:rPr>
            </w:pPr>
            <w:r w:rsidRPr="00C74F0E">
              <w:rPr>
                <w:rFonts w:ascii="Century" w:hAnsi="Century"/>
              </w:rPr>
              <w:t xml:space="preserve">40.7% </w:t>
            </w:r>
          </w:p>
        </w:tc>
        <w:tc>
          <w:tcPr>
            <w:tcW w:w="1417" w:type="dxa"/>
            <w:tcBorders>
              <w:top w:val="nil"/>
              <w:left w:val="nil"/>
              <w:bottom w:val="single" w:sz="4" w:space="0" w:color="auto"/>
              <w:right w:val="nil"/>
            </w:tcBorders>
            <w:shd w:val="clear" w:color="auto" w:fill="auto"/>
            <w:noWrap/>
            <w:hideMark/>
          </w:tcPr>
          <w:p w14:paraId="02DAF017" w14:textId="77777777" w:rsidR="007B3065" w:rsidRPr="00C74F0E" w:rsidRDefault="007B3065" w:rsidP="007B3065">
            <w:pPr>
              <w:widowControl/>
              <w:jc w:val="right"/>
              <w:rPr>
                <w:rFonts w:ascii="Century" w:hAnsi="Century"/>
              </w:rPr>
            </w:pPr>
            <w:r w:rsidRPr="00C74F0E">
              <w:rPr>
                <w:rFonts w:ascii="Century" w:hAnsi="Century"/>
              </w:rPr>
              <w:t>2.3</w:t>
            </w:r>
          </w:p>
          <w:p w14:paraId="5A1EC984" w14:textId="507DC9AF" w:rsidR="007B3065" w:rsidRPr="00C74F0E" w:rsidRDefault="007B3065" w:rsidP="007B3065">
            <w:pPr>
              <w:widowControl/>
              <w:jc w:val="right"/>
              <w:rPr>
                <w:rFonts w:ascii="Century" w:eastAsia="游ゴシック" w:hAnsi="Century" w:cs="ＭＳ Ｐゴシック"/>
                <w:color w:val="000000"/>
                <w:kern w:val="0"/>
                <w:sz w:val="20"/>
                <w:szCs w:val="20"/>
              </w:rPr>
            </w:pPr>
            <w:r w:rsidRPr="00C74F0E">
              <w:rPr>
                <w:rFonts w:ascii="Century" w:hAnsi="Century"/>
              </w:rPr>
              <w:t xml:space="preserve">43.2% </w:t>
            </w:r>
          </w:p>
        </w:tc>
        <w:tc>
          <w:tcPr>
            <w:tcW w:w="1418" w:type="dxa"/>
            <w:tcBorders>
              <w:top w:val="nil"/>
              <w:left w:val="nil"/>
              <w:bottom w:val="single" w:sz="4" w:space="0" w:color="auto"/>
              <w:right w:val="nil"/>
            </w:tcBorders>
            <w:shd w:val="clear" w:color="auto" w:fill="auto"/>
            <w:noWrap/>
            <w:hideMark/>
          </w:tcPr>
          <w:p w14:paraId="4864C99F" w14:textId="77777777" w:rsidR="007B3065" w:rsidRPr="00C74F0E" w:rsidRDefault="007B3065" w:rsidP="007B3065">
            <w:pPr>
              <w:widowControl/>
              <w:jc w:val="right"/>
              <w:rPr>
                <w:rFonts w:ascii="Century" w:hAnsi="Century"/>
              </w:rPr>
            </w:pPr>
            <w:r w:rsidRPr="00C74F0E">
              <w:rPr>
                <w:rFonts w:ascii="Century" w:hAnsi="Century"/>
              </w:rPr>
              <w:t>2.3</w:t>
            </w:r>
          </w:p>
          <w:p w14:paraId="42963EBF" w14:textId="44AFC2D5" w:rsidR="007B3065" w:rsidRPr="00C74F0E" w:rsidRDefault="007B3065" w:rsidP="007B3065">
            <w:pPr>
              <w:widowControl/>
              <w:jc w:val="right"/>
              <w:rPr>
                <w:rFonts w:ascii="Century" w:eastAsia="游ゴシック" w:hAnsi="Century" w:cs="ＭＳ Ｐゴシック"/>
                <w:color w:val="000000"/>
                <w:kern w:val="0"/>
                <w:sz w:val="20"/>
                <w:szCs w:val="20"/>
              </w:rPr>
            </w:pPr>
            <w:r w:rsidRPr="00C74F0E">
              <w:rPr>
                <w:rFonts w:ascii="Century" w:hAnsi="Century"/>
              </w:rPr>
              <w:t xml:space="preserve">43.4% </w:t>
            </w:r>
          </w:p>
        </w:tc>
      </w:tr>
    </w:tbl>
    <w:p w14:paraId="58BD2899" w14:textId="4A93AE8B" w:rsidR="007B3065" w:rsidRDefault="007B3065" w:rsidP="0005355D">
      <w:pPr>
        <w:rPr>
          <w:b/>
          <w:bCs/>
        </w:rPr>
      </w:pPr>
      <w:r>
        <w:rPr>
          <w:rFonts w:hint="eastAsia"/>
        </w:rPr>
        <w:t>出典：よみうりランド社</w:t>
      </w:r>
      <w:r w:rsidR="00AF3BD8">
        <w:rPr>
          <w:rFonts w:hint="eastAsia"/>
        </w:rPr>
        <w:t>「有価証券報告書」</w:t>
      </w:r>
      <w:r>
        <w:rPr>
          <w:rFonts w:hint="eastAsia"/>
        </w:rPr>
        <w:t>より筆者作成。</w:t>
      </w:r>
    </w:p>
    <w:p w14:paraId="74DD4F6F" w14:textId="77777777" w:rsidR="007B3065" w:rsidRPr="007B3065" w:rsidRDefault="007B3065" w:rsidP="0005355D">
      <w:pPr>
        <w:rPr>
          <w:b/>
          <w:bCs/>
        </w:rPr>
      </w:pPr>
    </w:p>
    <w:p w14:paraId="110F5645" w14:textId="20033491" w:rsidR="008D4E21" w:rsidRDefault="002573EA" w:rsidP="0005355D">
      <w:pPr>
        <w:rPr>
          <w:b/>
          <w:bCs/>
        </w:rPr>
      </w:pPr>
      <w:r>
        <w:rPr>
          <w:b/>
          <w:bCs/>
        </w:rPr>
        <w:t>3</w:t>
      </w:r>
      <w:r w:rsidR="0005355D" w:rsidRPr="009E0ABF">
        <w:rPr>
          <w:rFonts w:hint="eastAsia"/>
          <w:b/>
          <w:bCs/>
        </w:rPr>
        <w:t>－</w:t>
      </w:r>
      <w:r w:rsidR="000214C0">
        <w:rPr>
          <w:b/>
          <w:bCs/>
        </w:rPr>
        <w:t>2</w:t>
      </w:r>
      <w:r w:rsidR="0005355D">
        <w:rPr>
          <w:rFonts w:hint="eastAsia"/>
          <w:b/>
          <w:bCs/>
        </w:rPr>
        <w:t>－</w:t>
      </w:r>
      <w:r w:rsidR="00664180">
        <w:rPr>
          <w:b/>
          <w:bCs/>
        </w:rPr>
        <w:t>3</w:t>
      </w:r>
      <w:r w:rsidR="0005355D" w:rsidRPr="009E0ABF">
        <w:rPr>
          <w:rFonts w:hint="eastAsia"/>
          <w:b/>
          <w:bCs/>
        </w:rPr>
        <w:t>．</w:t>
      </w:r>
      <w:r w:rsidR="0005355D" w:rsidRPr="0005355D">
        <w:rPr>
          <w:rFonts w:hint="eastAsia"/>
          <w:b/>
          <w:bCs/>
        </w:rPr>
        <w:t>よみうりランド</w:t>
      </w:r>
      <w:r w:rsidR="0005355D" w:rsidRPr="009E0ABF">
        <w:rPr>
          <w:rFonts w:hint="eastAsia"/>
          <w:b/>
          <w:bCs/>
        </w:rPr>
        <w:t>社</w:t>
      </w:r>
      <w:r w:rsidR="0005355D">
        <w:rPr>
          <w:rFonts w:hint="eastAsia"/>
          <w:b/>
          <w:bCs/>
        </w:rPr>
        <w:t>の安全性分析</w:t>
      </w:r>
    </w:p>
    <w:p w14:paraId="7AB3ED0C" w14:textId="26767739" w:rsidR="00A620EE" w:rsidRDefault="00E0409C" w:rsidP="00C70608">
      <w:r>
        <w:rPr>
          <w:rFonts w:hint="eastAsia"/>
        </w:rPr>
        <w:t xml:space="preserve">　表</w:t>
      </w:r>
      <w:r>
        <w:t>20</w:t>
      </w:r>
      <w:r>
        <w:rPr>
          <w:rFonts w:hint="eastAsia"/>
        </w:rPr>
        <w:t>は、よみうりランド社の安全性分析の指標をまとめたものである。</w:t>
      </w:r>
      <w:r w:rsidR="00C70608">
        <w:rPr>
          <w:rFonts w:hint="eastAsia"/>
        </w:rPr>
        <w:t>2020年度第4四半期（2</w:t>
      </w:r>
      <w:r w:rsidR="00C70608">
        <w:t>0.</w:t>
      </w:r>
      <w:r w:rsidR="00C70608">
        <w:rPr>
          <w:rFonts w:hint="eastAsia"/>
        </w:rPr>
        <w:t>4</w:t>
      </w:r>
      <w:r w:rsidR="00C70608">
        <w:t>Q</w:t>
      </w:r>
      <w:r w:rsidR="00C70608">
        <w:rPr>
          <w:rFonts w:hint="eastAsia"/>
        </w:rPr>
        <w:t>）以降、財務上の安全性の指標が悪化しているのが見て取れる。自己資本比率は</w:t>
      </w:r>
      <w:r w:rsidR="00A620EE">
        <w:rPr>
          <w:rFonts w:hint="eastAsia"/>
        </w:rPr>
        <w:t>4</w:t>
      </w:r>
      <w:r w:rsidR="00A620EE">
        <w:t>2.6%</w:t>
      </w:r>
      <w:r w:rsidR="00A620EE">
        <w:rPr>
          <w:rFonts w:hint="eastAsia"/>
        </w:rPr>
        <w:t>と</w:t>
      </w:r>
      <w:r w:rsidR="00C70608">
        <w:rPr>
          <w:rFonts w:hint="eastAsia"/>
        </w:rPr>
        <w:t>低下</w:t>
      </w:r>
      <w:r w:rsidR="00A620EE">
        <w:rPr>
          <w:rFonts w:hint="eastAsia"/>
        </w:rPr>
        <w:t>傾向にあり、</w:t>
      </w:r>
      <w:r w:rsidR="00C70608">
        <w:rPr>
          <w:rFonts w:hint="eastAsia"/>
        </w:rPr>
        <w:t>流動比率</w:t>
      </w:r>
      <w:r w:rsidR="00A620EE">
        <w:rPr>
          <w:rFonts w:hint="eastAsia"/>
        </w:rPr>
        <w:t>も</w:t>
      </w:r>
      <w:r w:rsidR="00C70608">
        <w:rPr>
          <w:rFonts w:hint="eastAsia"/>
        </w:rPr>
        <w:t>100</w:t>
      </w:r>
      <w:r w:rsidR="00C70608">
        <w:t>%</w:t>
      </w:r>
      <w:r w:rsidR="00C70608">
        <w:rPr>
          <w:rFonts w:hint="eastAsia"/>
        </w:rPr>
        <w:t>を切</w:t>
      </w:r>
      <w:r w:rsidR="00A620EE">
        <w:rPr>
          <w:rFonts w:hint="eastAsia"/>
        </w:rPr>
        <w:t>っている</w:t>
      </w:r>
      <w:r w:rsidR="00C33AD6">
        <w:rPr>
          <w:rFonts w:hint="eastAsia"/>
        </w:rPr>
        <w:t>。</w:t>
      </w:r>
      <w:r w:rsidR="00A620EE">
        <w:rPr>
          <w:rFonts w:hint="eastAsia"/>
        </w:rPr>
        <w:t>また、固定比率は2</w:t>
      </w:r>
      <w:r w:rsidR="00A620EE">
        <w:t>00%</w:t>
      </w:r>
      <w:r w:rsidR="00A620EE">
        <w:rPr>
          <w:rFonts w:hint="eastAsia"/>
        </w:rPr>
        <w:t>を超え、かつ</w:t>
      </w:r>
      <w:r w:rsidR="00C70608">
        <w:rPr>
          <w:rFonts w:hint="eastAsia"/>
        </w:rPr>
        <w:t>固定長期適合率</w:t>
      </w:r>
      <w:r w:rsidR="00A620EE">
        <w:rPr>
          <w:rFonts w:hint="eastAsia"/>
        </w:rPr>
        <w:t>も</w:t>
      </w:r>
      <w:r w:rsidR="00C70608">
        <w:rPr>
          <w:rFonts w:hint="eastAsia"/>
        </w:rPr>
        <w:t>1</w:t>
      </w:r>
      <w:r w:rsidR="00C70608">
        <w:t>00%</w:t>
      </w:r>
      <w:r w:rsidR="00C70608">
        <w:rPr>
          <w:rFonts w:hint="eastAsia"/>
        </w:rPr>
        <w:t>を超えて</w:t>
      </w:r>
      <w:r w:rsidR="00C33AD6">
        <w:rPr>
          <w:rFonts w:hint="eastAsia"/>
        </w:rPr>
        <w:t>いるため、短期的にも長期的にも財務上の安全性が確保されているとは言い難い。</w:t>
      </w:r>
    </w:p>
    <w:p w14:paraId="32F289ED" w14:textId="143BF5AE" w:rsidR="00C70608" w:rsidRDefault="00C33AD6" w:rsidP="00C33AD6">
      <w:pPr>
        <w:ind w:firstLineChars="100" w:firstLine="210"/>
      </w:pPr>
      <w:r>
        <w:rPr>
          <w:rFonts w:hint="eastAsia"/>
        </w:rPr>
        <w:t>しかし、</w:t>
      </w:r>
      <w:r w:rsidR="00C70608">
        <w:rPr>
          <w:rFonts w:hint="eastAsia"/>
        </w:rPr>
        <w:t>他方で</w:t>
      </w:r>
      <w:r>
        <w:rPr>
          <w:rFonts w:hint="eastAsia"/>
        </w:rPr>
        <w:t>は</w:t>
      </w:r>
      <w:r w:rsidR="00C70608">
        <w:rPr>
          <w:rFonts w:hint="eastAsia"/>
        </w:rPr>
        <w:t>、ネットD</w:t>
      </w:r>
      <w:r w:rsidR="00C70608">
        <w:t>/E</w:t>
      </w:r>
      <w:r w:rsidR="00C70608">
        <w:rPr>
          <w:rFonts w:hint="eastAsia"/>
        </w:rPr>
        <w:t>レシオは1</w:t>
      </w:r>
      <w:r w:rsidR="00C70608">
        <w:t>6%</w:t>
      </w:r>
      <w:r w:rsidR="00C70608">
        <w:rPr>
          <w:rFonts w:hint="eastAsia"/>
        </w:rPr>
        <w:t>と低水準であり、</w:t>
      </w:r>
      <w:r w:rsidR="00A620EE">
        <w:rPr>
          <w:rFonts w:hint="eastAsia"/>
        </w:rPr>
        <w:t>短期借入金を解消するだけの現金及び預金は保有している。</w:t>
      </w:r>
      <w:r>
        <w:rPr>
          <w:rFonts w:hint="eastAsia"/>
        </w:rPr>
        <w:t>また、よみうりランド社は</w:t>
      </w:r>
      <w:r w:rsidR="007D18F8">
        <w:rPr>
          <w:rFonts w:hint="eastAsia"/>
        </w:rPr>
        <w:t>O</w:t>
      </w:r>
      <w:r w:rsidR="007D18F8">
        <w:t>LC</w:t>
      </w:r>
      <w:r w:rsidR="007D18F8">
        <w:rPr>
          <w:rFonts w:hint="eastAsia"/>
        </w:rPr>
        <w:t>と同様に、純有利子負債額が小さく、純資産額と比較しても資金調達する余力があるため、流動比率と固定長期適合率の改善が見込まれ</w:t>
      </w:r>
      <w:r w:rsidR="009C6029">
        <w:rPr>
          <w:rFonts w:hint="eastAsia"/>
        </w:rPr>
        <w:t>よう</w:t>
      </w:r>
      <w:r w:rsidR="007D18F8">
        <w:rPr>
          <w:rFonts w:hint="eastAsia"/>
        </w:rPr>
        <w:t>。</w:t>
      </w:r>
    </w:p>
    <w:p w14:paraId="16263A09" w14:textId="4750D8B1" w:rsidR="00E0409C" w:rsidRPr="00E0409C" w:rsidRDefault="00E0409C" w:rsidP="0005355D"/>
    <w:p w14:paraId="046BC145" w14:textId="77777777" w:rsidR="00C70608" w:rsidRDefault="00C70608" w:rsidP="0005355D"/>
    <w:p w14:paraId="114CDEA9" w14:textId="3BE5B480" w:rsidR="00E0409C" w:rsidRPr="00E0409C" w:rsidRDefault="00E0409C" w:rsidP="00E0409C">
      <w:pPr>
        <w:widowControl/>
        <w:jc w:val="left"/>
      </w:pPr>
      <w:r>
        <w:rPr>
          <w:rFonts w:hint="eastAsia"/>
        </w:rPr>
        <w:t>表</w:t>
      </w:r>
      <w:r>
        <w:t>20</w:t>
      </w:r>
      <w:r>
        <w:rPr>
          <w:rFonts w:hint="eastAsia"/>
        </w:rPr>
        <w:t xml:space="preserve">　よみうりランド社の安全性分析（四半期）</w:t>
      </w:r>
    </w:p>
    <w:tbl>
      <w:tblPr>
        <w:tblW w:w="8606" w:type="dxa"/>
        <w:tblInd w:w="-30" w:type="dxa"/>
        <w:tblLayout w:type="fixed"/>
        <w:tblCellMar>
          <w:left w:w="99" w:type="dxa"/>
          <w:right w:w="99" w:type="dxa"/>
        </w:tblCellMar>
        <w:tblLook w:val="0000" w:firstRow="0" w:lastRow="0" w:firstColumn="0" w:lastColumn="0" w:noHBand="0" w:noVBand="0"/>
      </w:tblPr>
      <w:tblGrid>
        <w:gridCol w:w="2933"/>
        <w:gridCol w:w="945"/>
        <w:gridCol w:w="946"/>
        <w:gridCol w:w="946"/>
        <w:gridCol w:w="945"/>
        <w:gridCol w:w="946"/>
        <w:gridCol w:w="945"/>
      </w:tblGrid>
      <w:tr w:rsidR="00C70608" w14:paraId="387634F7" w14:textId="77777777" w:rsidTr="00E0409C">
        <w:trPr>
          <w:trHeight w:val="319"/>
        </w:trPr>
        <w:tc>
          <w:tcPr>
            <w:tcW w:w="2933" w:type="dxa"/>
            <w:tcBorders>
              <w:top w:val="single" w:sz="6" w:space="0" w:color="auto"/>
              <w:left w:val="nil"/>
              <w:bottom w:val="single" w:sz="6" w:space="0" w:color="auto"/>
              <w:right w:val="nil"/>
            </w:tcBorders>
          </w:tcPr>
          <w:p w14:paraId="1CB2DA20" w14:textId="77777777" w:rsidR="00C70608" w:rsidRDefault="00C70608" w:rsidP="00C70608">
            <w:pPr>
              <w:autoSpaceDE w:val="0"/>
              <w:autoSpaceDN w:val="0"/>
              <w:adjustRightInd w:val="0"/>
              <w:jc w:val="left"/>
              <w:rPr>
                <w:rFonts w:ascii="游明朝" w:eastAsia="游明朝" w:hAnsi="Arial" w:cs="游明朝"/>
                <w:b/>
                <w:bCs/>
                <w:color w:val="000000"/>
                <w:kern w:val="0"/>
                <w:sz w:val="20"/>
                <w:szCs w:val="20"/>
              </w:rPr>
            </w:pPr>
            <w:r>
              <w:rPr>
                <w:rFonts w:ascii="游明朝" w:eastAsia="游明朝" w:hAnsi="Arial" w:cs="游明朝" w:hint="eastAsia"/>
                <w:b/>
                <w:bCs/>
                <w:color w:val="000000"/>
                <w:kern w:val="0"/>
                <w:sz w:val="20"/>
                <w:szCs w:val="20"/>
              </w:rPr>
              <w:t>安全性</w:t>
            </w:r>
          </w:p>
        </w:tc>
        <w:tc>
          <w:tcPr>
            <w:tcW w:w="945" w:type="dxa"/>
            <w:tcBorders>
              <w:top w:val="single" w:sz="6" w:space="0" w:color="000000"/>
              <w:left w:val="nil"/>
              <w:bottom w:val="single" w:sz="6" w:space="0" w:color="000000"/>
              <w:right w:val="nil"/>
            </w:tcBorders>
          </w:tcPr>
          <w:p w14:paraId="1466D0B9" w14:textId="2E64825B" w:rsidR="00C70608" w:rsidRPr="00C74F0E" w:rsidRDefault="00C70608" w:rsidP="00C70608">
            <w:pPr>
              <w:autoSpaceDE w:val="0"/>
              <w:autoSpaceDN w:val="0"/>
              <w:adjustRightInd w:val="0"/>
              <w:jc w:val="center"/>
              <w:rPr>
                <w:rFonts w:ascii="Century" w:eastAsia="游明朝" w:hAnsi="Century" w:cs="Arial"/>
                <w:b/>
                <w:bCs/>
                <w:color w:val="000000"/>
                <w:kern w:val="0"/>
                <w:sz w:val="20"/>
                <w:szCs w:val="20"/>
              </w:rPr>
            </w:pPr>
            <w:r w:rsidRPr="00C74F0E">
              <w:rPr>
                <w:rFonts w:ascii="Century" w:hAnsi="Century" w:cs="Arial"/>
                <w:b/>
                <w:bCs/>
                <w:color w:val="000000"/>
                <w:kern w:val="0"/>
                <w:sz w:val="20"/>
                <w:szCs w:val="20"/>
              </w:rPr>
              <w:t>19.Q4</w:t>
            </w:r>
          </w:p>
        </w:tc>
        <w:tc>
          <w:tcPr>
            <w:tcW w:w="946" w:type="dxa"/>
            <w:tcBorders>
              <w:top w:val="single" w:sz="6" w:space="0" w:color="000000"/>
              <w:left w:val="nil"/>
              <w:bottom w:val="single" w:sz="6" w:space="0" w:color="000000"/>
              <w:right w:val="nil"/>
            </w:tcBorders>
          </w:tcPr>
          <w:p w14:paraId="47620D8B" w14:textId="01AD00A3" w:rsidR="00C70608" w:rsidRPr="00C74F0E" w:rsidRDefault="00C70608" w:rsidP="00C70608">
            <w:pPr>
              <w:autoSpaceDE w:val="0"/>
              <w:autoSpaceDN w:val="0"/>
              <w:adjustRightInd w:val="0"/>
              <w:jc w:val="center"/>
              <w:rPr>
                <w:rFonts w:ascii="Century" w:eastAsia="游明朝" w:hAnsi="Century" w:cs="Arial"/>
                <w:b/>
                <w:bCs/>
                <w:color w:val="000000"/>
                <w:kern w:val="0"/>
                <w:sz w:val="20"/>
                <w:szCs w:val="20"/>
              </w:rPr>
            </w:pPr>
            <w:r w:rsidRPr="00C74F0E">
              <w:rPr>
                <w:rFonts w:ascii="Century" w:hAnsi="Century" w:cs="Arial"/>
                <w:b/>
                <w:bCs/>
                <w:color w:val="000000"/>
                <w:kern w:val="0"/>
                <w:sz w:val="20"/>
                <w:szCs w:val="20"/>
              </w:rPr>
              <w:t>20.Q1</w:t>
            </w:r>
          </w:p>
        </w:tc>
        <w:tc>
          <w:tcPr>
            <w:tcW w:w="946" w:type="dxa"/>
            <w:tcBorders>
              <w:top w:val="single" w:sz="6" w:space="0" w:color="000000"/>
              <w:left w:val="nil"/>
              <w:bottom w:val="single" w:sz="6" w:space="0" w:color="000000"/>
              <w:right w:val="nil"/>
            </w:tcBorders>
          </w:tcPr>
          <w:p w14:paraId="17AE5A27" w14:textId="01677871" w:rsidR="00C70608" w:rsidRPr="00C74F0E" w:rsidRDefault="00C70608" w:rsidP="00C70608">
            <w:pPr>
              <w:autoSpaceDE w:val="0"/>
              <w:autoSpaceDN w:val="0"/>
              <w:adjustRightInd w:val="0"/>
              <w:jc w:val="center"/>
              <w:rPr>
                <w:rFonts w:ascii="Century" w:eastAsia="游明朝" w:hAnsi="Century" w:cs="Arial"/>
                <w:b/>
                <w:bCs/>
                <w:color w:val="000000"/>
                <w:kern w:val="0"/>
                <w:sz w:val="20"/>
                <w:szCs w:val="20"/>
              </w:rPr>
            </w:pPr>
            <w:r w:rsidRPr="00C74F0E">
              <w:rPr>
                <w:rFonts w:ascii="Century" w:hAnsi="Century" w:cs="Arial"/>
                <w:b/>
                <w:bCs/>
                <w:color w:val="000000"/>
                <w:kern w:val="0"/>
                <w:sz w:val="20"/>
                <w:szCs w:val="20"/>
              </w:rPr>
              <w:t>20.Q2</w:t>
            </w:r>
          </w:p>
        </w:tc>
        <w:tc>
          <w:tcPr>
            <w:tcW w:w="945" w:type="dxa"/>
            <w:tcBorders>
              <w:top w:val="single" w:sz="6" w:space="0" w:color="000000"/>
              <w:left w:val="nil"/>
              <w:bottom w:val="single" w:sz="6" w:space="0" w:color="000000"/>
              <w:right w:val="nil"/>
            </w:tcBorders>
          </w:tcPr>
          <w:p w14:paraId="16C536AE" w14:textId="5E30FC76" w:rsidR="00C70608" w:rsidRPr="00C74F0E" w:rsidRDefault="00C70608" w:rsidP="00C70608">
            <w:pPr>
              <w:autoSpaceDE w:val="0"/>
              <w:autoSpaceDN w:val="0"/>
              <w:adjustRightInd w:val="0"/>
              <w:jc w:val="center"/>
              <w:rPr>
                <w:rFonts w:ascii="Century" w:eastAsia="游明朝" w:hAnsi="Century" w:cs="Arial"/>
                <w:b/>
                <w:bCs/>
                <w:color w:val="000000"/>
                <w:kern w:val="0"/>
                <w:sz w:val="20"/>
                <w:szCs w:val="20"/>
              </w:rPr>
            </w:pPr>
            <w:r w:rsidRPr="00C74F0E">
              <w:rPr>
                <w:rFonts w:ascii="Century" w:hAnsi="Century" w:cs="Arial"/>
                <w:b/>
                <w:bCs/>
                <w:color w:val="000000"/>
                <w:kern w:val="0"/>
                <w:sz w:val="20"/>
                <w:szCs w:val="20"/>
              </w:rPr>
              <w:t>20.Q3</w:t>
            </w:r>
          </w:p>
        </w:tc>
        <w:tc>
          <w:tcPr>
            <w:tcW w:w="946" w:type="dxa"/>
            <w:tcBorders>
              <w:top w:val="single" w:sz="6" w:space="0" w:color="000000"/>
              <w:left w:val="nil"/>
              <w:bottom w:val="single" w:sz="6" w:space="0" w:color="000000"/>
              <w:right w:val="nil"/>
            </w:tcBorders>
          </w:tcPr>
          <w:p w14:paraId="26CF60A4" w14:textId="1FEB75B0" w:rsidR="00C70608" w:rsidRPr="00C74F0E" w:rsidRDefault="00C70608" w:rsidP="00C70608">
            <w:pPr>
              <w:autoSpaceDE w:val="0"/>
              <w:autoSpaceDN w:val="0"/>
              <w:adjustRightInd w:val="0"/>
              <w:jc w:val="center"/>
              <w:rPr>
                <w:rFonts w:ascii="Century" w:eastAsia="游明朝" w:hAnsi="Century" w:cs="Arial"/>
                <w:b/>
                <w:bCs/>
                <w:color w:val="000000"/>
                <w:kern w:val="0"/>
                <w:sz w:val="20"/>
                <w:szCs w:val="20"/>
              </w:rPr>
            </w:pPr>
            <w:r w:rsidRPr="00C74F0E">
              <w:rPr>
                <w:rFonts w:ascii="Century" w:hAnsi="Century" w:cs="Arial"/>
                <w:b/>
                <w:bCs/>
                <w:color w:val="000000"/>
                <w:kern w:val="0"/>
                <w:sz w:val="20"/>
                <w:szCs w:val="20"/>
              </w:rPr>
              <w:t>20.Q4</w:t>
            </w:r>
          </w:p>
        </w:tc>
        <w:tc>
          <w:tcPr>
            <w:tcW w:w="945" w:type="dxa"/>
            <w:tcBorders>
              <w:top w:val="single" w:sz="6" w:space="0" w:color="000000"/>
              <w:left w:val="nil"/>
              <w:bottom w:val="single" w:sz="6" w:space="0" w:color="000000"/>
              <w:right w:val="nil"/>
            </w:tcBorders>
          </w:tcPr>
          <w:p w14:paraId="7CBB4C97" w14:textId="768B6ABA" w:rsidR="00C70608" w:rsidRPr="00C74F0E" w:rsidRDefault="00C70608" w:rsidP="00C70608">
            <w:pPr>
              <w:autoSpaceDE w:val="0"/>
              <w:autoSpaceDN w:val="0"/>
              <w:adjustRightInd w:val="0"/>
              <w:jc w:val="center"/>
              <w:rPr>
                <w:rFonts w:ascii="Century" w:eastAsia="游明朝" w:hAnsi="Century" w:cs="Arial"/>
                <w:b/>
                <w:bCs/>
                <w:color w:val="000000"/>
                <w:kern w:val="0"/>
                <w:sz w:val="20"/>
                <w:szCs w:val="20"/>
              </w:rPr>
            </w:pPr>
            <w:r w:rsidRPr="00C74F0E">
              <w:rPr>
                <w:rFonts w:ascii="Century" w:hAnsi="Century" w:cs="Arial"/>
                <w:b/>
                <w:bCs/>
                <w:color w:val="000000"/>
                <w:kern w:val="0"/>
                <w:sz w:val="20"/>
                <w:szCs w:val="20"/>
              </w:rPr>
              <w:t>21.Q1</w:t>
            </w:r>
          </w:p>
        </w:tc>
      </w:tr>
      <w:tr w:rsidR="00E0409C" w14:paraId="43018D9E" w14:textId="77777777" w:rsidTr="00E0409C">
        <w:trPr>
          <w:trHeight w:val="319"/>
        </w:trPr>
        <w:tc>
          <w:tcPr>
            <w:tcW w:w="2933" w:type="dxa"/>
            <w:tcBorders>
              <w:top w:val="nil"/>
              <w:left w:val="nil"/>
              <w:bottom w:val="nil"/>
              <w:right w:val="nil"/>
            </w:tcBorders>
          </w:tcPr>
          <w:p w14:paraId="29DAC82A" w14:textId="77777777" w:rsidR="00E0409C" w:rsidRDefault="00E0409C">
            <w:pPr>
              <w:autoSpaceDE w:val="0"/>
              <w:autoSpaceDN w:val="0"/>
              <w:adjustRightInd w:val="0"/>
              <w:jc w:val="left"/>
              <w:rPr>
                <w:rFonts w:ascii="游明朝" w:eastAsia="游明朝" w:hAnsi="Arial" w:cs="游明朝"/>
                <w:color w:val="000000"/>
                <w:kern w:val="0"/>
                <w:sz w:val="20"/>
                <w:szCs w:val="20"/>
              </w:rPr>
            </w:pPr>
            <w:r>
              <w:rPr>
                <w:rFonts w:ascii="游明朝" w:eastAsia="游明朝" w:hAnsi="Arial" w:cs="游明朝" w:hint="eastAsia"/>
                <w:color w:val="000000"/>
                <w:kern w:val="0"/>
                <w:sz w:val="20"/>
                <w:szCs w:val="20"/>
              </w:rPr>
              <w:t>自己資本比率</w:t>
            </w:r>
          </w:p>
        </w:tc>
        <w:tc>
          <w:tcPr>
            <w:tcW w:w="945" w:type="dxa"/>
            <w:tcBorders>
              <w:top w:val="nil"/>
              <w:left w:val="nil"/>
              <w:bottom w:val="nil"/>
              <w:right w:val="nil"/>
            </w:tcBorders>
          </w:tcPr>
          <w:p w14:paraId="493DC454"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43.2%</w:t>
            </w:r>
          </w:p>
        </w:tc>
        <w:tc>
          <w:tcPr>
            <w:tcW w:w="946" w:type="dxa"/>
            <w:tcBorders>
              <w:top w:val="nil"/>
              <w:left w:val="nil"/>
              <w:bottom w:val="nil"/>
              <w:right w:val="nil"/>
            </w:tcBorders>
          </w:tcPr>
          <w:p w14:paraId="61A1B8E2"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44.0%</w:t>
            </w:r>
          </w:p>
        </w:tc>
        <w:tc>
          <w:tcPr>
            <w:tcW w:w="946" w:type="dxa"/>
            <w:tcBorders>
              <w:top w:val="nil"/>
              <w:left w:val="nil"/>
              <w:bottom w:val="nil"/>
              <w:right w:val="nil"/>
            </w:tcBorders>
          </w:tcPr>
          <w:p w14:paraId="143EA54C"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44.4%</w:t>
            </w:r>
          </w:p>
        </w:tc>
        <w:tc>
          <w:tcPr>
            <w:tcW w:w="945" w:type="dxa"/>
            <w:tcBorders>
              <w:top w:val="nil"/>
              <w:left w:val="nil"/>
              <w:bottom w:val="nil"/>
              <w:right w:val="nil"/>
            </w:tcBorders>
          </w:tcPr>
          <w:p w14:paraId="42581D5D"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45.0%</w:t>
            </w:r>
          </w:p>
        </w:tc>
        <w:tc>
          <w:tcPr>
            <w:tcW w:w="946" w:type="dxa"/>
            <w:tcBorders>
              <w:top w:val="nil"/>
              <w:left w:val="nil"/>
              <w:bottom w:val="nil"/>
              <w:right w:val="nil"/>
            </w:tcBorders>
          </w:tcPr>
          <w:p w14:paraId="496B60EF"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43.4%</w:t>
            </w:r>
          </w:p>
        </w:tc>
        <w:tc>
          <w:tcPr>
            <w:tcW w:w="945" w:type="dxa"/>
            <w:tcBorders>
              <w:top w:val="nil"/>
              <w:left w:val="nil"/>
              <w:bottom w:val="nil"/>
              <w:right w:val="nil"/>
            </w:tcBorders>
          </w:tcPr>
          <w:p w14:paraId="37729D19"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42.6%</w:t>
            </w:r>
          </w:p>
        </w:tc>
      </w:tr>
      <w:tr w:rsidR="00E0409C" w14:paraId="076B3674" w14:textId="77777777" w:rsidTr="00E0409C">
        <w:trPr>
          <w:trHeight w:val="319"/>
        </w:trPr>
        <w:tc>
          <w:tcPr>
            <w:tcW w:w="2933" w:type="dxa"/>
            <w:tcBorders>
              <w:top w:val="nil"/>
              <w:left w:val="nil"/>
              <w:bottom w:val="nil"/>
              <w:right w:val="nil"/>
            </w:tcBorders>
          </w:tcPr>
          <w:p w14:paraId="2DA2AF74" w14:textId="77777777" w:rsidR="00E0409C" w:rsidRDefault="00E0409C">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財務レバレッジ</w:t>
            </w:r>
          </w:p>
        </w:tc>
        <w:tc>
          <w:tcPr>
            <w:tcW w:w="945" w:type="dxa"/>
            <w:tcBorders>
              <w:top w:val="nil"/>
              <w:left w:val="nil"/>
              <w:bottom w:val="nil"/>
              <w:right w:val="nil"/>
            </w:tcBorders>
          </w:tcPr>
          <w:p w14:paraId="5531D2CD"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2.3 </w:t>
            </w:r>
          </w:p>
        </w:tc>
        <w:tc>
          <w:tcPr>
            <w:tcW w:w="946" w:type="dxa"/>
            <w:tcBorders>
              <w:top w:val="nil"/>
              <w:left w:val="nil"/>
              <w:bottom w:val="nil"/>
              <w:right w:val="nil"/>
            </w:tcBorders>
          </w:tcPr>
          <w:p w14:paraId="7370DE42"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2.3 </w:t>
            </w:r>
          </w:p>
        </w:tc>
        <w:tc>
          <w:tcPr>
            <w:tcW w:w="946" w:type="dxa"/>
            <w:tcBorders>
              <w:top w:val="nil"/>
              <w:left w:val="nil"/>
              <w:bottom w:val="nil"/>
              <w:right w:val="nil"/>
            </w:tcBorders>
          </w:tcPr>
          <w:p w14:paraId="4C0B775F"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2.3 </w:t>
            </w:r>
          </w:p>
        </w:tc>
        <w:tc>
          <w:tcPr>
            <w:tcW w:w="945" w:type="dxa"/>
            <w:tcBorders>
              <w:top w:val="nil"/>
              <w:left w:val="nil"/>
              <w:bottom w:val="nil"/>
              <w:right w:val="nil"/>
            </w:tcBorders>
          </w:tcPr>
          <w:p w14:paraId="6EEF58D7"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2.2 </w:t>
            </w:r>
          </w:p>
        </w:tc>
        <w:tc>
          <w:tcPr>
            <w:tcW w:w="946" w:type="dxa"/>
            <w:tcBorders>
              <w:top w:val="nil"/>
              <w:left w:val="nil"/>
              <w:bottom w:val="nil"/>
              <w:right w:val="nil"/>
            </w:tcBorders>
          </w:tcPr>
          <w:p w14:paraId="6F302E6F"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2.3 </w:t>
            </w:r>
          </w:p>
        </w:tc>
        <w:tc>
          <w:tcPr>
            <w:tcW w:w="945" w:type="dxa"/>
            <w:tcBorders>
              <w:top w:val="nil"/>
              <w:left w:val="nil"/>
              <w:bottom w:val="nil"/>
              <w:right w:val="nil"/>
            </w:tcBorders>
          </w:tcPr>
          <w:p w14:paraId="26723BC2"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 xml:space="preserve">2.3 </w:t>
            </w:r>
          </w:p>
        </w:tc>
      </w:tr>
      <w:tr w:rsidR="00E0409C" w14:paraId="693AE5D5" w14:textId="77777777" w:rsidTr="00E0409C">
        <w:trPr>
          <w:trHeight w:val="319"/>
        </w:trPr>
        <w:tc>
          <w:tcPr>
            <w:tcW w:w="2933" w:type="dxa"/>
            <w:tcBorders>
              <w:top w:val="nil"/>
              <w:left w:val="nil"/>
              <w:bottom w:val="nil"/>
              <w:right w:val="nil"/>
            </w:tcBorders>
          </w:tcPr>
          <w:p w14:paraId="3714C3BA" w14:textId="77777777" w:rsidR="00E0409C" w:rsidRDefault="00E0409C">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流動比率</w:t>
            </w:r>
          </w:p>
        </w:tc>
        <w:tc>
          <w:tcPr>
            <w:tcW w:w="945" w:type="dxa"/>
            <w:tcBorders>
              <w:top w:val="nil"/>
              <w:left w:val="nil"/>
              <w:bottom w:val="nil"/>
              <w:right w:val="nil"/>
            </w:tcBorders>
          </w:tcPr>
          <w:p w14:paraId="32A58A44"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129%</w:t>
            </w:r>
          </w:p>
        </w:tc>
        <w:tc>
          <w:tcPr>
            <w:tcW w:w="946" w:type="dxa"/>
            <w:tcBorders>
              <w:top w:val="nil"/>
              <w:left w:val="nil"/>
              <w:bottom w:val="nil"/>
              <w:right w:val="nil"/>
            </w:tcBorders>
          </w:tcPr>
          <w:p w14:paraId="13B6286D"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123%</w:t>
            </w:r>
          </w:p>
        </w:tc>
        <w:tc>
          <w:tcPr>
            <w:tcW w:w="946" w:type="dxa"/>
            <w:tcBorders>
              <w:top w:val="nil"/>
              <w:left w:val="nil"/>
              <w:bottom w:val="nil"/>
              <w:right w:val="nil"/>
            </w:tcBorders>
          </w:tcPr>
          <w:p w14:paraId="4E398948"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123%</w:t>
            </w:r>
          </w:p>
        </w:tc>
        <w:tc>
          <w:tcPr>
            <w:tcW w:w="945" w:type="dxa"/>
            <w:tcBorders>
              <w:top w:val="nil"/>
              <w:left w:val="nil"/>
              <w:bottom w:val="nil"/>
              <w:right w:val="nil"/>
            </w:tcBorders>
          </w:tcPr>
          <w:p w14:paraId="10546507"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91%</w:t>
            </w:r>
          </w:p>
        </w:tc>
        <w:tc>
          <w:tcPr>
            <w:tcW w:w="946" w:type="dxa"/>
            <w:tcBorders>
              <w:top w:val="nil"/>
              <w:left w:val="nil"/>
              <w:bottom w:val="nil"/>
              <w:right w:val="nil"/>
            </w:tcBorders>
          </w:tcPr>
          <w:p w14:paraId="10B4772B"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70%</w:t>
            </w:r>
          </w:p>
        </w:tc>
        <w:tc>
          <w:tcPr>
            <w:tcW w:w="945" w:type="dxa"/>
            <w:tcBorders>
              <w:top w:val="nil"/>
              <w:left w:val="nil"/>
              <w:bottom w:val="nil"/>
              <w:right w:val="nil"/>
            </w:tcBorders>
          </w:tcPr>
          <w:p w14:paraId="764C53E1"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76%</w:t>
            </w:r>
          </w:p>
        </w:tc>
      </w:tr>
      <w:tr w:rsidR="00E0409C" w14:paraId="05679451" w14:textId="77777777" w:rsidTr="00E0409C">
        <w:trPr>
          <w:trHeight w:val="319"/>
        </w:trPr>
        <w:tc>
          <w:tcPr>
            <w:tcW w:w="2933" w:type="dxa"/>
            <w:tcBorders>
              <w:top w:val="nil"/>
              <w:left w:val="nil"/>
              <w:bottom w:val="nil"/>
              <w:right w:val="nil"/>
            </w:tcBorders>
          </w:tcPr>
          <w:p w14:paraId="13900967" w14:textId="77777777" w:rsidR="00E0409C" w:rsidRDefault="00E0409C">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固定比率</w:t>
            </w:r>
          </w:p>
        </w:tc>
        <w:tc>
          <w:tcPr>
            <w:tcW w:w="945" w:type="dxa"/>
            <w:tcBorders>
              <w:top w:val="nil"/>
              <w:left w:val="nil"/>
              <w:bottom w:val="nil"/>
              <w:right w:val="nil"/>
            </w:tcBorders>
          </w:tcPr>
          <w:p w14:paraId="17C572E9"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202%</w:t>
            </w:r>
          </w:p>
        </w:tc>
        <w:tc>
          <w:tcPr>
            <w:tcW w:w="946" w:type="dxa"/>
            <w:tcBorders>
              <w:top w:val="nil"/>
              <w:left w:val="nil"/>
              <w:bottom w:val="nil"/>
              <w:right w:val="nil"/>
            </w:tcBorders>
          </w:tcPr>
          <w:p w14:paraId="0CD61ADB"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201%</w:t>
            </w:r>
          </w:p>
        </w:tc>
        <w:tc>
          <w:tcPr>
            <w:tcW w:w="946" w:type="dxa"/>
            <w:tcBorders>
              <w:top w:val="nil"/>
              <w:left w:val="nil"/>
              <w:bottom w:val="nil"/>
              <w:right w:val="nil"/>
            </w:tcBorders>
          </w:tcPr>
          <w:p w14:paraId="0CD0FE9B"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198%</w:t>
            </w:r>
          </w:p>
        </w:tc>
        <w:tc>
          <w:tcPr>
            <w:tcW w:w="945" w:type="dxa"/>
            <w:tcBorders>
              <w:top w:val="nil"/>
              <w:left w:val="nil"/>
              <w:bottom w:val="nil"/>
              <w:right w:val="nil"/>
            </w:tcBorders>
          </w:tcPr>
          <w:p w14:paraId="48C438E1"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202%</w:t>
            </w:r>
          </w:p>
        </w:tc>
        <w:tc>
          <w:tcPr>
            <w:tcW w:w="946" w:type="dxa"/>
            <w:tcBorders>
              <w:top w:val="nil"/>
              <w:left w:val="nil"/>
              <w:bottom w:val="nil"/>
              <w:right w:val="nil"/>
            </w:tcBorders>
          </w:tcPr>
          <w:p w14:paraId="2AC6EEE6"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207%</w:t>
            </w:r>
          </w:p>
        </w:tc>
        <w:tc>
          <w:tcPr>
            <w:tcW w:w="945" w:type="dxa"/>
            <w:tcBorders>
              <w:top w:val="nil"/>
              <w:left w:val="nil"/>
              <w:bottom w:val="nil"/>
              <w:right w:val="nil"/>
            </w:tcBorders>
          </w:tcPr>
          <w:p w14:paraId="2CC7BB42"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210%</w:t>
            </w:r>
          </w:p>
        </w:tc>
      </w:tr>
      <w:tr w:rsidR="00E0409C" w14:paraId="2A736A32" w14:textId="77777777" w:rsidTr="00E0409C">
        <w:trPr>
          <w:trHeight w:val="319"/>
        </w:trPr>
        <w:tc>
          <w:tcPr>
            <w:tcW w:w="2933" w:type="dxa"/>
            <w:tcBorders>
              <w:top w:val="nil"/>
              <w:left w:val="nil"/>
              <w:bottom w:val="nil"/>
              <w:right w:val="nil"/>
            </w:tcBorders>
          </w:tcPr>
          <w:p w14:paraId="71B1A9E2" w14:textId="77777777" w:rsidR="00E0409C" w:rsidRDefault="00E0409C">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固定長期適合率</w:t>
            </w:r>
          </w:p>
        </w:tc>
        <w:tc>
          <w:tcPr>
            <w:tcW w:w="945" w:type="dxa"/>
            <w:tcBorders>
              <w:top w:val="nil"/>
              <w:left w:val="nil"/>
              <w:bottom w:val="nil"/>
              <w:right w:val="nil"/>
            </w:tcBorders>
          </w:tcPr>
          <w:p w14:paraId="47CF47B9"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97%</w:t>
            </w:r>
          </w:p>
        </w:tc>
        <w:tc>
          <w:tcPr>
            <w:tcW w:w="946" w:type="dxa"/>
            <w:tcBorders>
              <w:top w:val="nil"/>
              <w:left w:val="nil"/>
              <w:bottom w:val="nil"/>
              <w:right w:val="nil"/>
            </w:tcBorders>
          </w:tcPr>
          <w:p w14:paraId="75FF7186"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98%</w:t>
            </w:r>
          </w:p>
        </w:tc>
        <w:tc>
          <w:tcPr>
            <w:tcW w:w="946" w:type="dxa"/>
            <w:tcBorders>
              <w:top w:val="nil"/>
              <w:left w:val="nil"/>
              <w:bottom w:val="nil"/>
              <w:right w:val="nil"/>
            </w:tcBorders>
          </w:tcPr>
          <w:p w14:paraId="63B32268"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98%</w:t>
            </w:r>
          </w:p>
        </w:tc>
        <w:tc>
          <w:tcPr>
            <w:tcW w:w="945" w:type="dxa"/>
            <w:tcBorders>
              <w:top w:val="nil"/>
              <w:left w:val="nil"/>
              <w:bottom w:val="nil"/>
              <w:right w:val="nil"/>
            </w:tcBorders>
          </w:tcPr>
          <w:p w14:paraId="6A3BCC04"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101%</w:t>
            </w:r>
          </w:p>
        </w:tc>
        <w:tc>
          <w:tcPr>
            <w:tcW w:w="946" w:type="dxa"/>
            <w:tcBorders>
              <w:top w:val="nil"/>
              <w:left w:val="nil"/>
              <w:bottom w:val="nil"/>
              <w:right w:val="nil"/>
            </w:tcBorders>
          </w:tcPr>
          <w:p w14:paraId="130EA64C"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105%</w:t>
            </w:r>
          </w:p>
        </w:tc>
        <w:tc>
          <w:tcPr>
            <w:tcW w:w="945" w:type="dxa"/>
            <w:tcBorders>
              <w:top w:val="nil"/>
              <w:left w:val="nil"/>
              <w:bottom w:val="nil"/>
              <w:right w:val="nil"/>
            </w:tcBorders>
          </w:tcPr>
          <w:p w14:paraId="340E7A37"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104%</w:t>
            </w:r>
          </w:p>
        </w:tc>
      </w:tr>
      <w:tr w:rsidR="00E0409C" w14:paraId="33BBFE7C" w14:textId="77777777" w:rsidTr="00E0409C">
        <w:trPr>
          <w:trHeight w:val="319"/>
        </w:trPr>
        <w:tc>
          <w:tcPr>
            <w:tcW w:w="2933" w:type="dxa"/>
            <w:tcBorders>
              <w:top w:val="nil"/>
              <w:left w:val="nil"/>
              <w:bottom w:val="single" w:sz="6" w:space="0" w:color="auto"/>
              <w:right w:val="nil"/>
            </w:tcBorders>
          </w:tcPr>
          <w:p w14:paraId="28BDCE51" w14:textId="77777777" w:rsidR="00E0409C" w:rsidRDefault="00E0409C">
            <w:pPr>
              <w:autoSpaceDE w:val="0"/>
              <w:autoSpaceDN w:val="0"/>
              <w:adjustRightInd w:val="0"/>
              <w:jc w:val="left"/>
              <w:rPr>
                <w:rFonts w:ascii="游明朝" w:eastAsia="游明朝" w:hAnsi="Calibri" w:cs="游明朝"/>
                <w:color w:val="000000"/>
                <w:kern w:val="0"/>
                <w:sz w:val="20"/>
                <w:szCs w:val="20"/>
              </w:rPr>
            </w:pPr>
            <w:r>
              <w:rPr>
                <w:rFonts w:ascii="游明朝" w:eastAsia="游明朝" w:hAnsi="Calibri" w:cs="游明朝" w:hint="eastAsia"/>
                <w:color w:val="000000"/>
                <w:kern w:val="0"/>
                <w:sz w:val="20"/>
                <w:szCs w:val="20"/>
              </w:rPr>
              <w:t>ネット</w:t>
            </w:r>
            <w:r>
              <w:rPr>
                <w:rFonts w:ascii="游明朝" w:eastAsia="游明朝" w:hAnsi="Calibri" w:cs="游明朝"/>
                <w:color w:val="000000"/>
                <w:kern w:val="0"/>
                <w:sz w:val="20"/>
                <w:szCs w:val="20"/>
              </w:rPr>
              <w:t>D/E</w:t>
            </w:r>
            <w:r>
              <w:rPr>
                <w:rFonts w:ascii="游明朝" w:eastAsia="游明朝" w:hAnsi="Calibri" w:cs="游明朝" w:hint="eastAsia"/>
                <w:color w:val="000000"/>
                <w:kern w:val="0"/>
                <w:sz w:val="20"/>
                <w:szCs w:val="20"/>
              </w:rPr>
              <w:t>レシオ</w:t>
            </w:r>
          </w:p>
        </w:tc>
        <w:tc>
          <w:tcPr>
            <w:tcW w:w="945" w:type="dxa"/>
            <w:tcBorders>
              <w:top w:val="nil"/>
              <w:left w:val="nil"/>
              <w:bottom w:val="single" w:sz="6" w:space="0" w:color="auto"/>
              <w:right w:val="nil"/>
            </w:tcBorders>
          </w:tcPr>
          <w:p w14:paraId="14A0BE37"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8%</w:t>
            </w:r>
          </w:p>
        </w:tc>
        <w:tc>
          <w:tcPr>
            <w:tcW w:w="946" w:type="dxa"/>
            <w:tcBorders>
              <w:top w:val="nil"/>
              <w:left w:val="nil"/>
              <w:bottom w:val="single" w:sz="6" w:space="0" w:color="auto"/>
              <w:right w:val="nil"/>
            </w:tcBorders>
          </w:tcPr>
          <w:p w14:paraId="75ADEDB6"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5%</w:t>
            </w:r>
          </w:p>
        </w:tc>
        <w:tc>
          <w:tcPr>
            <w:tcW w:w="946" w:type="dxa"/>
            <w:tcBorders>
              <w:top w:val="nil"/>
              <w:left w:val="nil"/>
              <w:bottom w:val="single" w:sz="6" w:space="0" w:color="auto"/>
              <w:right w:val="nil"/>
            </w:tcBorders>
          </w:tcPr>
          <w:p w14:paraId="2C8565FD"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3%</w:t>
            </w:r>
          </w:p>
        </w:tc>
        <w:tc>
          <w:tcPr>
            <w:tcW w:w="945" w:type="dxa"/>
            <w:tcBorders>
              <w:top w:val="nil"/>
              <w:left w:val="nil"/>
              <w:bottom w:val="single" w:sz="6" w:space="0" w:color="auto"/>
              <w:right w:val="nil"/>
            </w:tcBorders>
          </w:tcPr>
          <w:p w14:paraId="14A672F4"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7%</w:t>
            </w:r>
          </w:p>
        </w:tc>
        <w:tc>
          <w:tcPr>
            <w:tcW w:w="946" w:type="dxa"/>
            <w:tcBorders>
              <w:top w:val="nil"/>
              <w:left w:val="nil"/>
              <w:bottom w:val="single" w:sz="6" w:space="0" w:color="auto"/>
              <w:right w:val="nil"/>
            </w:tcBorders>
          </w:tcPr>
          <w:p w14:paraId="5094BE86"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15%</w:t>
            </w:r>
          </w:p>
        </w:tc>
        <w:tc>
          <w:tcPr>
            <w:tcW w:w="945" w:type="dxa"/>
            <w:tcBorders>
              <w:top w:val="nil"/>
              <w:left w:val="nil"/>
              <w:bottom w:val="single" w:sz="6" w:space="0" w:color="auto"/>
              <w:right w:val="nil"/>
            </w:tcBorders>
          </w:tcPr>
          <w:p w14:paraId="755E0A3F" w14:textId="77777777" w:rsidR="00E0409C" w:rsidRPr="00C74F0E" w:rsidRDefault="00E0409C">
            <w:pPr>
              <w:autoSpaceDE w:val="0"/>
              <w:autoSpaceDN w:val="0"/>
              <w:adjustRightInd w:val="0"/>
              <w:jc w:val="right"/>
              <w:rPr>
                <w:rFonts w:ascii="Century" w:eastAsia="游明朝" w:hAnsi="Century" w:cs="Calibri"/>
                <w:color w:val="000000"/>
                <w:kern w:val="0"/>
                <w:sz w:val="20"/>
                <w:szCs w:val="20"/>
              </w:rPr>
            </w:pPr>
            <w:r w:rsidRPr="00C74F0E">
              <w:rPr>
                <w:rFonts w:ascii="Century" w:eastAsia="游明朝" w:hAnsi="Century" w:cs="Calibri"/>
                <w:color w:val="000000"/>
                <w:kern w:val="0"/>
                <w:sz w:val="20"/>
                <w:szCs w:val="20"/>
              </w:rPr>
              <w:t>16%</w:t>
            </w:r>
          </w:p>
        </w:tc>
      </w:tr>
    </w:tbl>
    <w:p w14:paraId="28DEADEE" w14:textId="76859A68" w:rsidR="00E0409C" w:rsidRPr="007D18F8" w:rsidRDefault="00E0409C" w:rsidP="0005355D">
      <w:pPr>
        <w:rPr>
          <w:b/>
          <w:bCs/>
        </w:rPr>
      </w:pPr>
      <w:r>
        <w:rPr>
          <w:rFonts w:hint="eastAsia"/>
        </w:rPr>
        <w:t>出典：よみうりランド社「四半期報告書」より筆者作成。</w:t>
      </w:r>
    </w:p>
    <w:p w14:paraId="3CBFDD16" w14:textId="77777777" w:rsidR="00E0409C" w:rsidRPr="00E0409C" w:rsidRDefault="00E0409C" w:rsidP="0005355D"/>
    <w:p w14:paraId="0513AEAC" w14:textId="62964862" w:rsidR="00F17253" w:rsidRDefault="002573EA">
      <w:pPr>
        <w:rPr>
          <w:b/>
          <w:bCs/>
        </w:rPr>
      </w:pPr>
      <w:r>
        <w:rPr>
          <w:b/>
          <w:bCs/>
        </w:rPr>
        <w:t>3</w:t>
      </w:r>
      <w:r w:rsidR="0005355D" w:rsidRPr="009E0ABF">
        <w:rPr>
          <w:rFonts w:hint="eastAsia"/>
          <w:b/>
          <w:bCs/>
        </w:rPr>
        <w:t>－</w:t>
      </w:r>
      <w:r w:rsidR="00664180">
        <w:rPr>
          <w:b/>
          <w:bCs/>
        </w:rPr>
        <w:t>2</w:t>
      </w:r>
      <w:r w:rsidR="007D18F8">
        <w:rPr>
          <w:rFonts w:hint="eastAsia"/>
          <w:b/>
          <w:bCs/>
        </w:rPr>
        <w:t>－</w:t>
      </w:r>
      <w:r w:rsidR="00664180">
        <w:rPr>
          <w:b/>
          <w:bCs/>
        </w:rPr>
        <w:t>4</w:t>
      </w:r>
      <w:r w:rsidR="0005355D" w:rsidRPr="009E0ABF">
        <w:rPr>
          <w:rFonts w:hint="eastAsia"/>
          <w:b/>
          <w:bCs/>
        </w:rPr>
        <w:t>．</w:t>
      </w:r>
      <w:r w:rsidR="0005355D">
        <w:rPr>
          <w:rFonts w:hint="eastAsia"/>
          <w:b/>
          <w:bCs/>
        </w:rPr>
        <w:t>小括</w:t>
      </w:r>
    </w:p>
    <w:p w14:paraId="099E2CA2" w14:textId="776D7151" w:rsidR="008F1C39" w:rsidRDefault="007D18F8">
      <w:r>
        <w:rPr>
          <w:rFonts w:hint="eastAsia"/>
          <w:b/>
          <w:bCs/>
        </w:rPr>
        <w:t xml:space="preserve">　</w:t>
      </w:r>
      <w:r w:rsidR="009C6029">
        <w:rPr>
          <w:rFonts w:hint="eastAsia"/>
        </w:rPr>
        <w:t>本</w:t>
      </w:r>
      <w:r>
        <w:rPr>
          <w:rFonts w:hint="eastAsia"/>
        </w:rPr>
        <w:t>節では、</w:t>
      </w:r>
      <w:r w:rsidRPr="007D18F8">
        <w:rPr>
          <w:rFonts w:hint="eastAsia"/>
        </w:rPr>
        <w:t>よみうりランド社の</w:t>
      </w:r>
      <w:r>
        <w:rPr>
          <w:rFonts w:hint="eastAsia"/>
        </w:rPr>
        <w:t>財務諸表分析をしてきたが、要約すると次の</w:t>
      </w:r>
      <w:r w:rsidR="00681EDD">
        <w:rPr>
          <w:rFonts w:hint="eastAsia"/>
        </w:rPr>
        <w:t>２つ</w:t>
      </w:r>
      <w:r>
        <w:rPr>
          <w:rFonts w:hint="eastAsia"/>
        </w:rPr>
        <w:t>である。</w:t>
      </w:r>
      <w:r w:rsidR="008F1C39">
        <w:rPr>
          <w:rFonts w:hint="eastAsia"/>
        </w:rPr>
        <w:t>第一に</w:t>
      </w:r>
      <w:r w:rsidR="00681EDD">
        <w:rPr>
          <w:rFonts w:hint="eastAsia"/>
        </w:rPr>
        <w:t>、</w:t>
      </w:r>
      <w:r>
        <w:rPr>
          <w:rFonts w:hint="eastAsia"/>
        </w:rPr>
        <w:t>H</w:t>
      </w:r>
      <w:r>
        <w:t>IS</w:t>
      </w:r>
      <w:r>
        <w:rPr>
          <w:rFonts w:hint="eastAsia"/>
        </w:rPr>
        <w:t>社の財務分析と同様に、</w:t>
      </w:r>
      <w:r w:rsidR="008F1C39">
        <w:rPr>
          <w:rFonts w:hint="eastAsia"/>
        </w:rPr>
        <w:t>遊園地</w:t>
      </w:r>
      <w:r>
        <w:rPr>
          <w:rFonts w:hint="eastAsia"/>
        </w:rPr>
        <w:t>以外</w:t>
      </w:r>
      <w:r w:rsidR="008F1C39">
        <w:rPr>
          <w:rFonts w:hint="eastAsia"/>
        </w:rPr>
        <w:t>に主力</w:t>
      </w:r>
      <w:r>
        <w:rPr>
          <w:rFonts w:hint="eastAsia"/>
        </w:rPr>
        <w:t>事業</w:t>
      </w:r>
      <w:r w:rsidR="008F1C39">
        <w:rPr>
          <w:rFonts w:hint="eastAsia"/>
        </w:rPr>
        <w:t>が存在すると</w:t>
      </w:r>
      <w:r w:rsidR="00681EDD">
        <w:rPr>
          <w:rFonts w:hint="eastAsia"/>
        </w:rPr>
        <w:t>、他の事業がリスクヘッジとなり、業績</w:t>
      </w:r>
      <w:r w:rsidR="007119F1">
        <w:rPr>
          <w:rFonts w:hint="eastAsia"/>
        </w:rPr>
        <w:t>の</w:t>
      </w:r>
      <w:r w:rsidR="00681EDD">
        <w:rPr>
          <w:rFonts w:hint="eastAsia"/>
        </w:rPr>
        <w:t>悪化</w:t>
      </w:r>
      <w:r w:rsidR="00661F3C">
        <w:rPr>
          <w:rFonts w:hint="eastAsia"/>
        </w:rPr>
        <w:t>は</w:t>
      </w:r>
      <w:r w:rsidR="007119F1">
        <w:rPr>
          <w:rFonts w:hint="eastAsia"/>
        </w:rPr>
        <w:t>一部</w:t>
      </w:r>
      <w:r w:rsidR="00681EDD">
        <w:rPr>
          <w:rFonts w:hint="eastAsia"/>
        </w:rPr>
        <w:t>軽減</w:t>
      </w:r>
      <w:r w:rsidR="007119F1">
        <w:rPr>
          <w:rFonts w:hint="eastAsia"/>
        </w:rPr>
        <w:t>されて</w:t>
      </w:r>
      <w:r w:rsidR="00661F3C">
        <w:rPr>
          <w:rFonts w:hint="eastAsia"/>
        </w:rPr>
        <w:t>いる</w:t>
      </w:r>
      <w:r w:rsidR="00681EDD">
        <w:rPr>
          <w:rFonts w:hint="eastAsia"/>
        </w:rPr>
        <w:t>。</w:t>
      </w:r>
      <w:r w:rsidR="008F1C39">
        <w:rPr>
          <w:rFonts w:hint="eastAsia"/>
        </w:rPr>
        <w:t>現に、よみうりランド社</w:t>
      </w:r>
      <w:r w:rsidR="007119F1">
        <w:rPr>
          <w:rFonts w:hint="eastAsia"/>
        </w:rPr>
        <w:t>の</w:t>
      </w:r>
      <w:r w:rsidR="008F1C39">
        <w:rPr>
          <w:rFonts w:hint="eastAsia"/>
        </w:rPr>
        <w:t>営業利益</w:t>
      </w:r>
      <w:r w:rsidR="007119F1">
        <w:rPr>
          <w:rFonts w:hint="eastAsia"/>
        </w:rPr>
        <w:t>は</w:t>
      </w:r>
      <w:r w:rsidR="008F1C39">
        <w:rPr>
          <w:rFonts w:hint="eastAsia"/>
        </w:rPr>
        <w:t>黒字を確保しており、</w:t>
      </w:r>
      <w:r w:rsidR="00661F3C">
        <w:rPr>
          <w:rFonts w:hint="eastAsia"/>
        </w:rPr>
        <w:t>その要因</w:t>
      </w:r>
      <w:r w:rsidR="007119F1">
        <w:rPr>
          <w:rFonts w:hint="eastAsia"/>
        </w:rPr>
        <w:t>として、</w:t>
      </w:r>
      <w:r w:rsidR="00661F3C">
        <w:rPr>
          <w:rFonts w:hint="eastAsia"/>
        </w:rPr>
        <w:t>公営競技部門の売上高の増加</w:t>
      </w:r>
      <w:r w:rsidR="007119F1">
        <w:rPr>
          <w:rFonts w:hint="eastAsia"/>
        </w:rPr>
        <w:t>や</w:t>
      </w:r>
      <w:r w:rsidR="00661F3C">
        <w:rPr>
          <w:rFonts w:hint="eastAsia"/>
        </w:rPr>
        <w:t>不動産事業</w:t>
      </w:r>
      <w:r w:rsidR="007119F1">
        <w:rPr>
          <w:rFonts w:hint="eastAsia"/>
        </w:rPr>
        <w:t>・</w:t>
      </w:r>
      <w:r w:rsidR="00661F3C">
        <w:rPr>
          <w:rFonts w:hint="eastAsia"/>
        </w:rPr>
        <w:t>サポートサービス事業で</w:t>
      </w:r>
      <w:r w:rsidR="007119F1">
        <w:rPr>
          <w:rFonts w:hint="eastAsia"/>
        </w:rPr>
        <w:t>減益が少なかったことが挙げられる</w:t>
      </w:r>
      <w:r w:rsidR="00661F3C">
        <w:rPr>
          <w:rFonts w:hint="eastAsia"/>
        </w:rPr>
        <w:t>。</w:t>
      </w:r>
    </w:p>
    <w:p w14:paraId="2BAE62F2" w14:textId="26837DF9" w:rsidR="008E2482" w:rsidRDefault="008F1C39" w:rsidP="008F1C39">
      <w:pPr>
        <w:ind w:firstLineChars="100" w:firstLine="210"/>
      </w:pPr>
      <w:r>
        <w:rPr>
          <w:rFonts w:hint="eastAsia"/>
        </w:rPr>
        <w:t>第ニに</w:t>
      </w:r>
      <w:r w:rsidR="00681EDD">
        <w:rPr>
          <w:rFonts w:hint="eastAsia"/>
        </w:rPr>
        <w:t>、</w:t>
      </w:r>
      <w:r w:rsidR="008E2482">
        <w:rPr>
          <w:rFonts w:hint="eastAsia"/>
        </w:rPr>
        <w:t>レジャー</w:t>
      </w:r>
      <w:r w:rsidR="00681EDD">
        <w:rPr>
          <w:rFonts w:hint="eastAsia"/>
        </w:rPr>
        <w:t>施設</w:t>
      </w:r>
      <w:r w:rsidR="008E2482">
        <w:rPr>
          <w:rFonts w:hint="eastAsia"/>
        </w:rPr>
        <w:t>への入場者減少により</w:t>
      </w:r>
      <w:r w:rsidR="00681EDD">
        <w:rPr>
          <w:rFonts w:hint="eastAsia"/>
        </w:rPr>
        <w:t>、</w:t>
      </w:r>
      <w:r w:rsidR="008E2482">
        <w:rPr>
          <w:rFonts w:hint="eastAsia"/>
        </w:rPr>
        <w:t>短期的な</w:t>
      </w:r>
      <w:r w:rsidR="00681EDD">
        <w:rPr>
          <w:rFonts w:hint="eastAsia"/>
        </w:rPr>
        <w:t>キャッシュインフローの機能が低下し</w:t>
      </w:r>
      <w:r w:rsidR="007119F1">
        <w:rPr>
          <w:rFonts w:hint="eastAsia"/>
        </w:rPr>
        <w:t>、</w:t>
      </w:r>
      <w:r w:rsidR="008E2482">
        <w:rPr>
          <w:rFonts w:hint="eastAsia"/>
        </w:rPr>
        <w:t>短期的な資金繰りを悪化させている</w:t>
      </w:r>
      <w:r w:rsidR="007119F1">
        <w:rPr>
          <w:rFonts w:hint="eastAsia"/>
        </w:rPr>
        <w:t>。また、遊園地など設備投資の大きい事業は、長期</w:t>
      </w:r>
      <w:r w:rsidR="008E2482">
        <w:rPr>
          <w:rFonts w:hint="eastAsia"/>
        </w:rPr>
        <w:t>的な</w:t>
      </w:r>
      <w:r w:rsidR="007119F1">
        <w:rPr>
          <w:rFonts w:hint="eastAsia"/>
        </w:rPr>
        <w:t>固定負債</w:t>
      </w:r>
      <w:r w:rsidR="008E2482">
        <w:rPr>
          <w:rFonts w:hint="eastAsia"/>
        </w:rPr>
        <w:t>も</w:t>
      </w:r>
      <w:r w:rsidR="007119F1">
        <w:rPr>
          <w:rFonts w:hint="eastAsia"/>
        </w:rPr>
        <w:t>大きく、長期的な支払能力も</w:t>
      </w:r>
      <w:r w:rsidR="008E2482">
        <w:rPr>
          <w:rFonts w:hint="eastAsia"/>
        </w:rPr>
        <w:t>低下し</w:t>
      </w:r>
      <w:r w:rsidR="00664180">
        <w:rPr>
          <w:rFonts w:hint="eastAsia"/>
        </w:rPr>
        <w:t>ているため</w:t>
      </w:r>
      <w:r w:rsidR="008E2482">
        <w:rPr>
          <w:rFonts w:hint="eastAsia"/>
        </w:rPr>
        <w:t>、自己資本比率や財務レバレッジ</w:t>
      </w:r>
      <w:r w:rsidR="00664180">
        <w:rPr>
          <w:rFonts w:hint="eastAsia"/>
        </w:rPr>
        <w:t>の</w:t>
      </w:r>
      <w:r w:rsidR="008E2482">
        <w:rPr>
          <w:rFonts w:hint="eastAsia"/>
        </w:rPr>
        <w:t>数値以上に、財務の安全性は低下している。</w:t>
      </w:r>
    </w:p>
    <w:p w14:paraId="38F1CABE" w14:textId="71865109" w:rsidR="0005355D" w:rsidRPr="007D18F8" w:rsidRDefault="00664180" w:rsidP="008F1C39">
      <w:pPr>
        <w:ind w:firstLineChars="100" w:firstLine="210"/>
      </w:pPr>
      <w:r>
        <w:rPr>
          <w:rFonts w:hint="eastAsia"/>
        </w:rPr>
        <w:t>以上より</w:t>
      </w:r>
      <w:r w:rsidR="008E2482">
        <w:rPr>
          <w:rFonts w:hint="eastAsia"/>
        </w:rPr>
        <w:t>、</w:t>
      </w:r>
      <w:r w:rsidR="00951807">
        <w:rPr>
          <w:rFonts w:hint="eastAsia"/>
        </w:rPr>
        <w:t>財務</w:t>
      </w:r>
      <w:r>
        <w:rPr>
          <w:rFonts w:hint="eastAsia"/>
        </w:rPr>
        <w:t>の安全性を確保する上で</w:t>
      </w:r>
      <w:r w:rsidR="00951807">
        <w:rPr>
          <w:rFonts w:hint="eastAsia"/>
        </w:rPr>
        <w:t>、</w:t>
      </w:r>
      <w:r w:rsidR="007119F1">
        <w:rPr>
          <w:rFonts w:hint="eastAsia"/>
        </w:rPr>
        <w:t>短期</w:t>
      </w:r>
      <w:r w:rsidR="00951807">
        <w:rPr>
          <w:rFonts w:hint="eastAsia"/>
        </w:rPr>
        <w:t>的資金と長期的資金の</w:t>
      </w:r>
      <w:r w:rsidR="00C74F0E">
        <w:rPr>
          <w:rFonts w:hint="eastAsia"/>
        </w:rPr>
        <w:t>コンバージェンス</w:t>
      </w:r>
      <w:r>
        <w:rPr>
          <w:rFonts w:hint="eastAsia"/>
        </w:rPr>
        <w:t>が鍵となり、企業における資金調達能力が最も重要視されよう。</w:t>
      </w:r>
    </w:p>
    <w:p w14:paraId="5E21203E" w14:textId="77777777" w:rsidR="007D18F8" w:rsidRDefault="007D18F8">
      <w:pPr>
        <w:rPr>
          <w:b/>
          <w:bCs/>
        </w:rPr>
      </w:pPr>
    </w:p>
    <w:p w14:paraId="08567F79" w14:textId="240E4D84" w:rsidR="0005355D" w:rsidRPr="0005355D" w:rsidRDefault="002573EA">
      <w:pPr>
        <w:rPr>
          <w:b/>
          <w:bCs/>
        </w:rPr>
      </w:pPr>
      <w:r>
        <w:rPr>
          <w:rFonts w:hint="eastAsia"/>
          <w:b/>
          <w:bCs/>
        </w:rPr>
        <w:t>４</w:t>
      </w:r>
      <w:r w:rsidR="0005355D">
        <w:rPr>
          <w:rFonts w:hint="eastAsia"/>
          <w:b/>
          <w:bCs/>
        </w:rPr>
        <w:t>．おわりに</w:t>
      </w:r>
    </w:p>
    <w:p w14:paraId="060DCAE5" w14:textId="6D4C55D0" w:rsidR="00F17253" w:rsidRDefault="00664180">
      <w:r>
        <w:rPr>
          <w:rFonts w:hint="eastAsia"/>
          <w:b/>
          <w:bCs/>
        </w:rPr>
        <w:t xml:space="preserve">　</w:t>
      </w:r>
      <w:r w:rsidR="00C74F0E">
        <w:rPr>
          <w:rFonts w:hint="eastAsia"/>
        </w:rPr>
        <w:t>本稿</w:t>
      </w:r>
      <w:r w:rsidRPr="00664180">
        <w:rPr>
          <w:rFonts w:hint="eastAsia"/>
        </w:rPr>
        <w:t>では、</w:t>
      </w:r>
      <w:r>
        <w:rPr>
          <w:rFonts w:hint="eastAsia"/>
        </w:rPr>
        <w:t>オリエンタルランド社を中心に、H</w:t>
      </w:r>
      <w:r>
        <w:t>IS</w:t>
      </w:r>
      <w:r>
        <w:rPr>
          <w:rFonts w:hint="eastAsia"/>
        </w:rPr>
        <w:t>社とよみうりランド社の財務諸表分析を行った。ここで明らかにされたことは、以下の3つである。</w:t>
      </w:r>
    </w:p>
    <w:p w14:paraId="63871404" w14:textId="15B8D40F" w:rsidR="00664180" w:rsidRDefault="00664180">
      <w:r>
        <w:rPr>
          <w:rFonts w:hint="eastAsia"/>
        </w:rPr>
        <w:t xml:space="preserve">　第一に、新型コロナウイルス下において、</w:t>
      </w:r>
      <w:r w:rsidR="00E6553C">
        <w:rPr>
          <w:rFonts w:hint="eastAsia"/>
        </w:rPr>
        <w:t>テーマパークや遊園地への大幅な入場者数の減少は、</w:t>
      </w:r>
      <w:r>
        <w:rPr>
          <w:rFonts w:hint="eastAsia"/>
        </w:rPr>
        <w:t>短期的なキャッシュインフローの機能</w:t>
      </w:r>
      <w:r w:rsidR="005E70F9">
        <w:rPr>
          <w:rFonts w:hint="eastAsia"/>
        </w:rPr>
        <w:t>の</w:t>
      </w:r>
      <w:r>
        <w:rPr>
          <w:rFonts w:hint="eastAsia"/>
        </w:rPr>
        <w:t>低下</w:t>
      </w:r>
      <w:r w:rsidR="005E70F9">
        <w:rPr>
          <w:rFonts w:hint="eastAsia"/>
        </w:rPr>
        <w:t>により</w:t>
      </w:r>
      <w:r>
        <w:rPr>
          <w:rFonts w:hint="eastAsia"/>
        </w:rPr>
        <w:t>、</w:t>
      </w:r>
      <w:r w:rsidR="00141BD5">
        <w:rPr>
          <w:rFonts w:hint="eastAsia"/>
        </w:rPr>
        <w:t>流動資産を大幅に減少させ</w:t>
      </w:r>
      <w:r w:rsidR="009E47A0">
        <w:rPr>
          <w:rFonts w:hint="eastAsia"/>
        </w:rPr>
        <w:t>、企業経営</w:t>
      </w:r>
      <w:r w:rsidR="005E70F9">
        <w:rPr>
          <w:rFonts w:hint="eastAsia"/>
        </w:rPr>
        <w:t>を</w:t>
      </w:r>
      <w:r w:rsidR="009E47A0">
        <w:rPr>
          <w:rFonts w:hint="eastAsia"/>
        </w:rPr>
        <w:t>圧迫</w:t>
      </w:r>
      <w:r w:rsidR="005E70F9">
        <w:rPr>
          <w:rFonts w:hint="eastAsia"/>
        </w:rPr>
        <w:t>させた</w:t>
      </w:r>
      <w:r w:rsidR="009E47A0">
        <w:rPr>
          <w:rFonts w:hint="eastAsia"/>
        </w:rPr>
        <w:t>。財務諸表を</w:t>
      </w:r>
      <w:r w:rsidR="005E70F9">
        <w:rPr>
          <w:rFonts w:hint="eastAsia"/>
        </w:rPr>
        <w:t>比較する</w:t>
      </w:r>
      <w:r w:rsidR="009E47A0">
        <w:rPr>
          <w:rFonts w:hint="eastAsia"/>
        </w:rPr>
        <w:t>と、どの企業も受取手形や売掛金などの売上債権を</w:t>
      </w:r>
      <w:r w:rsidR="005E70F9">
        <w:rPr>
          <w:rFonts w:hint="eastAsia"/>
        </w:rPr>
        <w:t>早期に</w:t>
      </w:r>
      <w:r w:rsidR="009E47A0">
        <w:rPr>
          <w:rFonts w:hint="eastAsia"/>
        </w:rPr>
        <w:t>現金化し、キャッシュフローの改善に努めていた</w:t>
      </w:r>
      <w:r w:rsidR="005E70F9">
        <w:rPr>
          <w:rFonts w:hint="eastAsia"/>
        </w:rPr>
        <w:t>ことが分かる。</w:t>
      </w:r>
    </w:p>
    <w:p w14:paraId="7B787B58" w14:textId="4B338944" w:rsidR="00141BD5" w:rsidRDefault="00141BD5">
      <w:r>
        <w:rPr>
          <w:rFonts w:hint="eastAsia"/>
        </w:rPr>
        <w:t xml:space="preserve">　第二に、オリエンタルランド社のようにテーマパーク事業のみ一極集中している企業よりも、多角的に事業を運営している企業の方が業績の悪化を軽減させている</w:t>
      </w:r>
      <w:r w:rsidR="009E47A0">
        <w:rPr>
          <w:rFonts w:hint="eastAsia"/>
        </w:rPr>
        <w:t>ことである</w:t>
      </w:r>
      <w:r>
        <w:rPr>
          <w:rFonts w:hint="eastAsia"/>
        </w:rPr>
        <w:t>。H</w:t>
      </w:r>
      <w:r>
        <w:t>IS</w:t>
      </w:r>
      <w:r>
        <w:rPr>
          <w:rFonts w:hint="eastAsia"/>
        </w:rPr>
        <w:t>社</w:t>
      </w:r>
      <w:r w:rsidR="00E6553C">
        <w:rPr>
          <w:rFonts w:hint="eastAsia"/>
        </w:rPr>
        <w:t>と</w:t>
      </w:r>
      <w:r>
        <w:rPr>
          <w:rFonts w:hint="eastAsia"/>
        </w:rPr>
        <w:t>よみうりランド社</w:t>
      </w:r>
      <w:r w:rsidR="00E6553C">
        <w:rPr>
          <w:rFonts w:hint="eastAsia"/>
        </w:rPr>
        <w:t>のテーマパーク・遊園地事業は、それ自体が主力事業ではなく、たとえ休園したとしても、他の事業セグメントで売上を補填して</w:t>
      </w:r>
      <w:r w:rsidR="009E47A0">
        <w:rPr>
          <w:rFonts w:hint="eastAsia"/>
        </w:rPr>
        <w:t>おり、売上高の減少幅小さいことが分かった</w:t>
      </w:r>
      <w:r w:rsidR="00E6553C">
        <w:rPr>
          <w:rFonts w:hint="eastAsia"/>
        </w:rPr>
        <w:t>。</w:t>
      </w:r>
    </w:p>
    <w:p w14:paraId="32A592DA" w14:textId="7E2A879C" w:rsidR="009C6029" w:rsidRDefault="00E6553C" w:rsidP="009C6029">
      <w:pPr>
        <w:rPr>
          <w:b/>
          <w:bCs/>
        </w:rPr>
      </w:pPr>
      <w:r>
        <w:rPr>
          <w:rFonts w:hint="eastAsia"/>
        </w:rPr>
        <w:lastRenderedPageBreak/>
        <w:t xml:space="preserve">　第三に、</w:t>
      </w:r>
      <w:r w:rsidR="009E47A0">
        <w:rPr>
          <w:rFonts w:hint="eastAsia"/>
        </w:rPr>
        <w:t>どの企業も</w:t>
      </w:r>
      <w:r>
        <w:rPr>
          <w:rFonts w:hint="eastAsia"/>
        </w:rPr>
        <w:t>財務の安全性の指標では、流動比率</w:t>
      </w:r>
      <w:r w:rsidR="009C6029">
        <w:rPr>
          <w:rFonts w:hint="eastAsia"/>
        </w:rPr>
        <w:t>の</w:t>
      </w:r>
      <w:r>
        <w:rPr>
          <w:rFonts w:hint="eastAsia"/>
        </w:rPr>
        <w:t>低下、固定比率・固定長期適合率・ネットD</w:t>
      </w:r>
      <w:r>
        <w:t>/E</w:t>
      </w:r>
      <w:r>
        <w:rPr>
          <w:rFonts w:hint="eastAsia"/>
        </w:rPr>
        <w:t>レシオの上昇</w:t>
      </w:r>
      <w:r w:rsidR="009C6029">
        <w:rPr>
          <w:rFonts w:hint="eastAsia"/>
        </w:rPr>
        <w:t>し、</w:t>
      </w:r>
      <w:r w:rsidR="003F3587">
        <w:rPr>
          <w:rFonts w:hint="eastAsia"/>
        </w:rPr>
        <w:t>財務安全性</w:t>
      </w:r>
      <w:r w:rsidR="009C6029">
        <w:rPr>
          <w:rFonts w:hint="eastAsia"/>
        </w:rPr>
        <w:t>の指標は</w:t>
      </w:r>
      <w:r w:rsidR="003F3587">
        <w:rPr>
          <w:rFonts w:hint="eastAsia"/>
        </w:rPr>
        <w:t>悪化してい</w:t>
      </w:r>
      <w:r w:rsidR="009C6029">
        <w:rPr>
          <w:rFonts w:hint="eastAsia"/>
        </w:rPr>
        <w:t>る</w:t>
      </w:r>
      <w:r w:rsidR="003F3587">
        <w:rPr>
          <w:rFonts w:hint="eastAsia"/>
        </w:rPr>
        <w:t>。</w:t>
      </w:r>
      <w:r w:rsidR="009C6029">
        <w:rPr>
          <w:rFonts w:hint="eastAsia"/>
        </w:rPr>
        <w:t>また、O</w:t>
      </w:r>
      <w:r w:rsidR="009C6029">
        <w:t>LC</w:t>
      </w:r>
      <w:r w:rsidR="009C6029">
        <w:rPr>
          <w:rFonts w:hint="eastAsia"/>
        </w:rPr>
        <w:t>とよみうりランド社の自己資本比率と財務レバレッジ</w:t>
      </w:r>
      <w:r w:rsidR="009E47A0">
        <w:rPr>
          <w:rFonts w:hint="eastAsia"/>
        </w:rPr>
        <w:t>は</w:t>
      </w:r>
      <w:r w:rsidR="009C6029">
        <w:rPr>
          <w:rFonts w:hint="eastAsia"/>
        </w:rPr>
        <w:t>改善されているが、</w:t>
      </w:r>
      <w:r w:rsidR="009E47A0">
        <w:rPr>
          <w:rFonts w:hint="eastAsia"/>
        </w:rPr>
        <w:t>これは経営リスクに対応するため資金調達を行い、総資産が増加したことが要因として挙げられる。</w:t>
      </w:r>
    </w:p>
    <w:p w14:paraId="1966EFB4" w14:textId="5FA15166" w:rsidR="00F17253" w:rsidRDefault="009E47A0">
      <w:r>
        <w:rPr>
          <w:rFonts w:hint="eastAsia"/>
        </w:rPr>
        <w:t xml:space="preserve">　このように、テーマパークや遊園地を経営する企業はアトラクションなどの設備投資により固定資産の割合が大きくなり、レジャー施設を休業した場合、財務上、</w:t>
      </w:r>
      <w:r w:rsidR="005E70F9">
        <w:rPr>
          <w:rFonts w:hint="eastAsia"/>
        </w:rPr>
        <w:t>短期的なキャッシュフローはもとより、長期支払能力も大きく低下させ</w:t>
      </w:r>
      <w:r w:rsidR="00DB4B5E">
        <w:rPr>
          <w:rFonts w:hint="eastAsia"/>
        </w:rPr>
        <w:t>、キャッシュフローの重要性が一層高まったと考えられる</w:t>
      </w:r>
      <w:r w:rsidR="005E70F9">
        <w:rPr>
          <w:rFonts w:hint="eastAsia"/>
        </w:rPr>
        <w:t>。</w:t>
      </w:r>
    </w:p>
    <w:p w14:paraId="772ED7DB" w14:textId="77777777" w:rsidR="00DB4B5E" w:rsidRDefault="005E70F9">
      <w:r>
        <w:rPr>
          <w:rFonts w:hint="eastAsia"/>
        </w:rPr>
        <w:t xml:space="preserve">　最後に今後の課題を述べて結びとする。今回取り上げたレジャー施設は、国内でも来場者数の多い人気のあるテーマパークや遊園地で、長年財務基盤が安定した企業である。しかし、この他にも公営のレジャー施設や小規模な</w:t>
      </w:r>
      <w:r w:rsidR="00203550">
        <w:rPr>
          <w:rFonts w:hint="eastAsia"/>
        </w:rPr>
        <w:t>レジャー施設があり、新型コロナウイルス下において財政状態が厳しいレジャー施設は数多く存在する。現に、としまえん</w:t>
      </w:r>
      <w:r w:rsidR="00DB4B5E">
        <w:rPr>
          <w:rFonts w:hint="eastAsia"/>
        </w:rPr>
        <w:t>は</w:t>
      </w:r>
      <w:r w:rsidR="00203550">
        <w:rPr>
          <w:rFonts w:hint="eastAsia"/>
        </w:rPr>
        <w:t>、経営難により閉鎖が決まり、</w:t>
      </w:r>
      <w:r w:rsidR="00DB4B5E">
        <w:rPr>
          <w:rFonts w:hint="eastAsia"/>
        </w:rPr>
        <w:t>次の事業戦略が重要視されている。</w:t>
      </w:r>
    </w:p>
    <w:p w14:paraId="22FC150C" w14:textId="4D4B0C02" w:rsidR="005E70F9" w:rsidRDefault="00DB4B5E" w:rsidP="00DB4B5E">
      <w:pPr>
        <w:ind w:firstLineChars="100" w:firstLine="210"/>
      </w:pPr>
      <w:r>
        <w:rPr>
          <w:rFonts w:hint="eastAsia"/>
        </w:rPr>
        <w:t>したがって</w:t>
      </w:r>
      <w:r w:rsidR="00203550">
        <w:rPr>
          <w:rFonts w:hint="eastAsia"/>
        </w:rPr>
        <w:t>、</w:t>
      </w:r>
      <w:r>
        <w:rPr>
          <w:rFonts w:hint="eastAsia"/>
        </w:rPr>
        <w:t>このような</w:t>
      </w:r>
      <w:r w:rsidR="00203550">
        <w:rPr>
          <w:rFonts w:hint="eastAsia"/>
        </w:rPr>
        <w:t>財務上のリスク</w:t>
      </w:r>
      <w:r>
        <w:rPr>
          <w:rFonts w:hint="eastAsia"/>
        </w:rPr>
        <w:t>が起きた際に、</w:t>
      </w:r>
      <w:r w:rsidR="00203550">
        <w:rPr>
          <w:rFonts w:hint="eastAsia"/>
        </w:rPr>
        <w:t>経営管理上の課題</w:t>
      </w:r>
      <w:r>
        <w:rPr>
          <w:rFonts w:hint="eastAsia"/>
        </w:rPr>
        <w:t>としてどのように対処すべきなのか</w:t>
      </w:r>
      <w:r w:rsidR="00203550">
        <w:rPr>
          <w:rFonts w:hint="eastAsia"/>
        </w:rPr>
        <w:t>、</w:t>
      </w:r>
      <w:r>
        <w:rPr>
          <w:rFonts w:hint="eastAsia"/>
        </w:rPr>
        <w:t>また</w:t>
      </w:r>
      <w:r w:rsidR="00203550">
        <w:rPr>
          <w:rFonts w:hint="eastAsia"/>
        </w:rPr>
        <w:t>事業</w:t>
      </w:r>
      <w:r>
        <w:rPr>
          <w:rFonts w:hint="eastAsia"/>
        </w:rPr>
        <w:t>ポートフォリオをどのように組むことが最適リスクヘッジになるのか、これらを</w:t>
      </w:r>
      <w:r w:rsidR="00B15EF4">
        <w:rPr>
          <w:rFonts w:hint="eastAsia"/>
        </w:rPr>
        <w:t>模索</w:t>
      </w:r>
      <w:r>
        <w:rPr>
          <w:rFonts w:hint="eastAsia"/>
        </w:rPr>
        <w:t>することが今後の研究課題である。</w:t>
      </w:r>
    </w:p>
    <w:p w14:paraId="61DADE15" w14:textId="77777777" w:rsidR="005E70F9" w:rsidRDefault="005E70F9">
      <w:pPr>
        <w:rPr>
          <w:b/>
          <w:bCs/>
        </w:rPr>
      </w:pPr>
    </w:p>
    <w:p w14:paraId="1E8C4C01" w14:textId="77777777" w:rsidR="00F17253" w:rsidRDefault="00F17253">
      <w:pPr>
        <w:rPr>
          <w:b/>
          <w:bCs/>
        </w:rPr>
      </w:pPr>
    </w:p>
    <w:p w14:paraId="1B605D0A" w14:textId="1D068796" w:rsidR="00686F3F" w:rsidRPr="00DF1BDA" w:rsidRDefault="00686F3F">
      <w:pPr>
        <w:rPr>
          <w:b/>
          <w:bCs/>
        </w:rPr>
      </w:pPr>
      <w:r w:rsidRPr="00DF1BDA">
        <w:rPr>
          <w:b/>
          <w:bCs/>
        </w:rPr>
        <w:t>参考文献</w:t>
      </w:r>
    </w:p>
    <w:p w14:paraId="59073449" w14:textId="66FEB59B" w:rsidR="00DF1BDA" w:rsidRDefault="00DF1BDA">
      <w:r>
        <w:rPr>
          <w:rFonts w:hint="eastAsia"/>
        </w:rPr>
        <w:t>桜井久勝（2</w:t>
      </w:r>
      <w:r>
        <w:t>020</w:t>
      </w:r>
      <w:r>
        <w:rPr>
          <w:rFonts w:hint="eastAsia"/>
        </w:rPr>
        <w:t>）『</w:t>
      </w:r>
      <w:r w:rsidRPr="00DF1BDA">
        <w:rPr>
          <w:rFonts w:hint="eastAsia"/>
        </w:rPr>
        <w:t>財務会計講義</w:t>
      </w:r>
      <w:r>
        <w:rPr>
          <w:rFonts w:hint="eastAsia"/>
        </w:rPr>
        <w:t>〔第21版〕』中央経済社.</w:t>
      </w:r>
    </w:p>
    <w:p w14:paraId="2968CCE6" w14:textId="59D02779" w:rsidR="00DF1BDA" w:rsidRDefault="00DF1BDA">
      <w:r>
        <w:rPr>
          <w:rFonts w:hint="eastAsia"/>
        </w:rPr>
        <w:t>桜井久勝（2</w:t>
      </w:r>
      <w:r>
        <w:t>020</w:t>
      </w:r>
      <w:r>
        <w:rPr>
          <w:rFonts w:hint="eastAsia"/>
        </w:rPr>
        <w:t>）『</w:t>
      </w:r>
      <w:r w:rsidRPr="00DF1BDA">
        <w:rPr>
          <w:rFonts w:hint="eastAsia"/>
        </w:rPr>
        <w:t>財務</w:t>
      </w:r>
      <w:r>
        <w:rPr>
          <w:rFonts w:hint="eastAsia"/>
        </w:rPr>
        <w:t>諸表分析〔第</w:t>
      </w:r>
      <w:r>
        <w:t>8</w:t>
      </w:r>
      <w:r>
        <w:rPr>
          <w:rFonts w:hint="eastAsia"/>
        </w:rPr>
        <w:t>版〕』中央経済社.</w:t>
      </w:r>
    </w:p>
    <w:p w14:paraId="7F27F877" w14:textId="7757A812" w:rsidR="00DC5360" w:rsidRDefault="00DC5360">
      <w:r>
        <w:rPr>
          <w:rFonts w:hint="eastAsia"/>
        </w:rPr>
        <w:t>綜合ユニコム（2</w:t>
      </w:r>
      <w:r>
        <w:t>019</w:t>
      </w:r>
      <w:r>
        <w:rPr>
          <w:rFonts w:hint="eastAsia"/>
        </w:rPr>
        <w:t>）「</w:t>
      </w:r>
      <w:r w:rsidRPr="00DC5360">
        <w:rPr>
          <w:rFonts w:hint="eastAsia"/>
        </w:rPr>
        <w:t>特集</w:t>
      </w:r>
      <w:r w:rsidRPr="00DC5360">
        <w:t xml:space="preserve"> 独自調査 レジャー施設集客ランキング2019</w:t>
      </w:r>
      <w:r>
        <w:rPr>
          <w:rFonts w:hint="eastAsia"/>
        </w:rPr>
        <w:t>」『月間レジャー産業資料』綜合ユニコム,</w:t>
      </w:r>
      <w:r>
        <w:t xml:space="preserve"> 52(9), pp.30-65.</w:t>
      </w:r>
    </w:p>
    <w:p w14:paraId="5F12E4C3" w14:textId="72DEF07E" w:rsidR="00DF1BDA" w:rsidRDefault="00DF1BDA"/>
    <w:p w14:paraId="07819A3B" w14:textId="6DEB67A8" w:rsidR="00F75752" w:rsidRPr="00DF1BDA" w:rsidRDefault="00DF1BDA">
      <w:pPr>
        <w:rPr>
          <w:b/>
          <w:bCs/>
        </w:rPr>
      </w:pPr>
      <w:r w:rsidRPr="00DF1BDA">
        <w:rPr>
          <w:rFonts w:hint="eastAsia"/>
          <w:b/>
          <w:bCs/>
        </w:rPr>
        <w:t>参考資料</w:t>
      </w:r>
    </w:p>
    <w:p w14:paraId="10E885C5" w14:textId="698DCCA5" w:rsidR="00001C07" w:rsidRDefault="00001C07">
      <w:r>
        <w:rPr>
          <w:rFonts w:hint="eastAsia"/>
        </w:rPr>
        <w:t>エイチ・アイ・エス「決算短信」（</w:t>
      </w:r>
      <w:hyperlink r:id="rId8" w:history="1">
        <w:r w:rsidRPr="00A60789">
          <w:rPr>
            <w:rStyle w:val="a3"/>
          </w:rPr>
          <w:t>https://www.his.co.jp/ir/earnings/</w:t>
        </w:r>
      </w:hyperlink>
      <w:r>
        <w:rPr>
          <w:rFonts w:hint="eastAsia"/>
        </w:rPr>
        <w:t>）</w:t>
      </w:r>
    </w:p>
    <w:p w14:paraId="7FF0B5EC" w14:textId="223C4113" w:rsidR="00001C07" w:rsidRDefault="00001C07">
      <w:r>
        <w:rPr>
          <w:rFonts w:hint="eastAsia"/>
        </w:rPr>
        <w:t>エイチ・アイ・エス「有価証券報告書」（</w:t>
      </w:r>
      <w:hyperlink r:id="rId9" w:history="1">
        <w:r w:rsidRPr="00A60789">
          <w:rPr>
            <w:rStyle w:val="a3"/>
          </w:rPr>
          <w:t>https://www.his.co.jp/ir/securities/</w:t>
        </w:r>
      </w:hyperlink>
      <w:r>
        <w:rPr>
          <w:rFonts w:hint="eastAsia"/>
        </w:rPr>
        <w:t>）</w:t>
      </w:r>
    </w:p>
    <w:p w14:paraId="09FDFBC8" w14:textId="3800C73F" w:rsidR="00F75752" w:rsidRDefault="00001C07">
      <w:r>
        <w:rPr>
          <w:rFonts w:hint="eastAsia"/>
        </w:rPr>
        <w:t>オリエンタルランド</w:t>
      </w:r>
      <w:r w:rsidR="00F75752">
        <w:rPr>
          <w:rFonts w:hint="eastAsia"/>
        </w:rPr>
        <w:t>「決算短信」（</w:t>
      </w:r>
      <w:hyperlink r:id="rId10" w:history="1">
        <w:r w:rsidR="00F75752" w:rsidRPr="00A53774">
          <w:rPr>
            <w:color w:val="0563C1" w:themeColor="hyperlink"/>
            <w:u w:val="single"/>
          </w:rPr>
          <w:t>http://www.olc.co.jp/ja/ir/library/financial.html</w:t>
        </w:r>
      </w:hyperlink>
      <w:r w:rsidR="00F75752">
        <w:rPr>
          <w:rFonts w:hint="eastAsia"/>
        </w:rPr>
        <w:t>）</w:t>
      </w:r>
    </w:p>
    <w:p w14:paraId="594A515F" w14:textId="7C992F12" w:rsidR="00F75752" w:rsidRDefault="00001C07" w:rsidP="00001C07">
      <w:pPr>
        <w:jc w:val="left"/>
      </w:pPr>
      <w:r w:rsidRPr="00001C07">
        <w:rPr>
          <w:rFonts w:hint="eastAsia"/>
        </w:rPr>
        <w:t>オリエンタルランド</w:t>
      </w:r>
      <w:r w:rsidR="00F75752">
        <w:rPr>
          <w:rFonts w:hint="eastAsia"/>
        </w:rPr>
        <w:t>「有価証券報告書・四半期報告書」（</w:t>
      </w:r>
      <w:hyperlink r:id="rId11" w:history="1">
        <w:r w:rsidRPr="00A60789">
          <w:rPr>
            <w:rStyle w:val="a3"/>
          </w:rPr>
          <w:t>http://www.olc.co.jp/ja/ir/library/securities.html</w:t>
        </w:r>
      </w:hyperlink>
      <w:r w:rsidR="00F75752">
        <w:rPr>
          <w:rFonts w:hint="eastAsia"/>
        </w:rPr>
        <w:t>）</w:t>
      </w:r>
    </w:p>
    <w:p w14:paraId="658A7703" w14:textId="69E46E1D" w:rsidR="00001C07" w:rsidRDefault="00001C07" w:rsidP="00001C07">
      <w:r>
        <w:rPr>
          <w:rFonts w:hint="eastAsia"/>
        </w:rPr>
        <w:t>よみうりランド「決算短信」（</w:t>
      </w:r>
      <w:hyperlink r:id="rId12" w:history="1">
        <w:r w:rsidR="001D30E8" w:rsidRPr="00A60789">
          <w:rPr>
            <w:rStyle w:val="a3"/>
          </w:rPr>
          <w:t>https://yomiuriland.co.jp/ir/library/library02.html</w:t>
        </w:r>
      </w:hyperlink>
      <w:r>
        <w:rPr>
          <w:rFonts w:hint="eastAsia"/>
        </w:rPr>
        <w:t>）</w:t>
      </w:r>
    </w:p>
    <w:p w14:paraId="0C04AB86" w14:textId="4088C06F" w:rsidR="00001C07" w:rsidRDefault="00001C07" w:rsidP="00001C07">
      <w:r>
        <w:rPr>
          <w:rFonts w:hint="eastAsia"/>
        </w:rPr>
        <w:t>よみうりランド「有価証券報告書」（</w:t>
      </w:r>
      <w:hyperlink r:id="rId13" w:history="1">
        <w:r w:rsidR="001D30E8" w:rsidRPr="00A60789">
          <w:rPr>
            <w:rStyle w:val="a3"/>
          </w:rPr>
          <w:t>https://yomiuriland.co.jp/ir/library/library02.html</w:t>
        </w:r>
      </w:hyperlink>
      <w:r>
        <w:rPr>
          <w:rFonts w:hint="eastAsia"/>
        </w:rPr>
        <w:t>）</w:t>
      </w:r>
    </w:p>
    <w:p w14:paraId="594B3C50" w14:textId="358E05D6" w:rsidR="001D30E8" w:rsidRDefault="001D30E8" w:rsidP="00001C07">
      <w:r>
        <w:rPr>
          <w:rFonts w:hint="eastAsia"/>
        </w:rPr>
        <w:t>中小企業庁「中小企業実態調査」（</w:t>
      </w:r>
      <w:hyperlink r:id="rId14" w:history="1">
        <w:r w:rsidRPr="00A60789">
          <w:rPr>
            <w:rStyle w:val="a3"/>
          </w:rPr>
          <w:t>https://www.chusho.meti.go.jp/koukai/chousa/kihon/</w:t>
        </w:r>
      </w:hyperlink>
      <w:r>
        <w:rPr>
          <w:rFonts w:hint="eastAsia"/>
        </w:rPr>
        <w:t>）</w:t>
      </w:r>
    </w:p>
    <w:p w14:paraId="5022E89F" w14:textId="40A6CB40" w:rsidR="00F75752" w:rsidRDefault="00DC5360">
      <w:r>
        <w:rPr>
          <w:rFonts w:hint="eastAsia"/>
        </w:rPr>
        <w:t>中小企業庁「中小企業白書」（</w:t>
      </w:r>
      <w:hyperlink r:id="rId15" w:history="1">
        <w:r w:rsidRPr="00A60789">
          <w:rPr>
            <w:rStyle w:val="a3"/>
          </w:rPr>
          <w:t>https://www.chusho.meti.go.jp/pamflet/hakusyo/</w:t>
        </w:r>
      </w:hyperlink>
      <w:r>
        <w:rPr>
          <w:rFonts w:hint="eastAsia"/>
        </w:rPr>
        <w:t>）</w:t>
      </w:r>
    </w:p>
    <w:p w14:paraId="22892651" w14:textId="77777777" w:rsidR="00DC5360" w:rsidRPr="001D30E8" w:rsidRDefault="00DC5360"/>
    <w:p w14:paraId="26B46319" w14:textId="2C789BBC" w:rsidR="00001C07" w:rsidRDefault="00001C07">
      <w:pPr>
        <w:rPr>
          <w:b/>
          <w:bCs/>
        </w:rPr>
      </w:pPr>
      <w:r>
        <w:rPr>
          <w:rFonts w:hint="eastAsia"/>
          <w:b/>
          <w:bCs/>
        </w:rPr>
        <w:t>参考サイト</w:t>
      </w:r>
    </w:p>
    <w:p w14:paraId="14834DCC" w14:textId="60C31B72" w:rsidR="00001C07" w:rsidRDefault="00001C07" w:rsidP="00001C07">
      <w:r>
        <w:rPr>
          <w:rFonts w:hint="eastAsia"/>
        </w:rPr>
        <w:lastRenderedPageBreak/>
        <w:t>エイチ・アイ・エスHP（</w:t>
      </w:r>
      <w:hyperlink r:id="rId16" w:history="1">
        <w:r w:rsidRPr="00A60789">
          <w:rPr>
            <w:rStyle w:val="a3"/>
          </w:rPr>
          <w:t>https://www.his-j.com/Default.aspx</w:t>
        </w:r>
      </w:hyperlink>
      <w:r>
        <w:rPr>
          <w:rFonts w:hint="eastAsia"/>
        </w:rPr>
        <w:t>）</w:t>
      </w:r>
    </w:p>
    <w:p w14:paraId="173FD24D" w14:textId="21C16D1A" w:rsidR="00001C07" w:rsidRDefault="00001C07" w:rsidP="00001C07">
      <w:r>
        <w:rPr>
          <w:rFonts w:hint="eastAsia"/>
        </w:rPr>
        <w:t>オリエンタルランドHP（</w:t>
      </w:r>
      <w:hyperlink r:id="rId17" w:history="1">
        <w:r w:rsidRPr="00B43C9B">
          <w:rPr>
            <w:rStyle w:val="a3"/>
          </w:rPr>
          <w:t>http://www.olc.co.jp/ja/index.html</w:t>
        </w:r>
      </w:hyperlink>
      <w:r>
        <w:rPr>
          <w:rFonts w:hint="eastAsia"/>
        </w:rPr>
        <w:t>）</w:t>
      </w:r>
    </w:p>
    <w:p w14:paraId="29FB4541" w14:textId="02275F83" w:rsidR="00001C07" w:rsidRDefault="00001C07">
      <w:r>
        <w:rPr>
          <w:rFonts w:hint="eastAsia"/>
        </w:rPr>
        <w:t>よみうりランドHP（</w:t>
      </w:r>
      <w:hyperlink r:id="rId18" w:history="1">
        <w:r w:rsidRPr="00A60789">
          <w:rPr>
            <w:rStyle w:val="a3"/>
          </w:rPr>
          <w:t>https://www.yomiuriland.com/</w:t>
        </w:r>
      </w:hyperlink>
      <w:r>
        <w:rPr>
          <w:rFonts w:hint="eastAsia"/>
        </w:rPr>
        <w:t>）</w:t>
      </w:r>
    </w:p>
    <w:p w14:paraId="701936C6" w14:textId="79A346B4" w:rsidR="0074284B" w:rsidRPr="00936E34" w:rsidRDefault="001D30E8">
      <w:pPr>
        <w:rPr>
          <w:color w:val="1A1A1A" w:themeColor="background1" w:themeShade="1A"/>
        </w:rPr>
      </w:pPr>
      <w:r>
        <w:rPr>
          <w:rFonts w:hint="eastAsia"/>
          <w:color w:val="1A1A1A" w:themeColor="background1" w:themeShade="1A"/>
        </w:rPr>
        <w:t>中小企業庁HP（</w:t>
      </w:r>
      <w:hyperlink r:id="rId19" w:history="1">
        <w:r w:rsidRPr="00A60789">
          <w:rPr>
            <w:rStyle w:val="a3"/>
          </w:rPr>
          <w:t>https://www.chusho.meti.go.jp/</w:t>
        </w:r>
      </w:hyperlink>
      <w:r>
        <w:rPr>
          <w:rFonts w:hint="eastAsia"/>
          <w:color w:val="1A1A1A" w:themeColor="background1" w:themeShade="1A"/>
        </w:rPr>
        <w:t>）</w:t>
      </w:r>
    </w:p>
    <w:sectPr w:rsidR="0074284B" w:rsidRPr="00936E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D1E15" w14:textId="77777777" w:rsidR="00530ADA" w:rsidRDefault="00530ADA" w:rsidP="004D6105">
      <w:r>
        <w:separator/>
      </w:r>
    </w:p>
  </w:endnote>
  <w:endnote w:type="continuationSeparator" w:id="0">
    <w:p w14:paraId="78C6AF68" w14:textId="77777777" w:rsidR="00530ADA" w:rsidRDefault="00530ADA" w:rsidP="004D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0F056" w14:textId="77777777" w:rsidR="00530ADA" w:rsidRDefault="00530ADA" w:rsidP="004D6105">
      <w:r>
        <w:separator/>
      </w:r>
    </w:p>
  </w:footnote>
  <w:footnote w:type="continuationSeparator" w:id="0">
    <w:p w14:paraId="564C2921" w14:textId="77777777" w:rsidR="00530ADA" w:rsidRDefault="00530ADA" w:rsidP="004D6105">
      <w:r>
        <w:continuationSeparator/>
      </w:r>
    </w:p>
  </w:footnote>
  <w:footnote w:id="1">
    <w:p w14:paraId="34ED7259" w14:textId="561596D7" w:rsidR="00FD4310" w:rsidRPr="00FD4310" w:rsidRDefault="00FD4310">
      <w:pPr>
        <w:pStyle w:val="ae"/>
        <w:rPr>
          <w:rFonts w:hint="eastAsia"/>
          <w:sz w:val="20"/>
          <w:szCs w:val="21"/>
        </w:rPr>
      </w:pPr>
      <w:r>
        <w:rPr>
          <w:rStyle w:val="af0"/>
        </w:rPr>
        <w:footnoteRef/>
      </w:r>
      <w:r>
        <w:t xml:space="preserve"> </w:t>
      </w:r>
      <w:r w:rsidRPr="00FD4310">
        <w:rPr>
          <w:rFonts w:hint="eastAsia"/>
          <w:sz w:val="20"/>
          <w:szCs w:val="21"/>
        </w:rPr>
        <w:t>東京通信大学情報マネジメント学部 特任研究員</w:t>
      </w:r>
    </w:p>
  </w:footnote>
  <w:footnote w:id="2">
    <w:p w14:paraId="318C9EB3" w14:textId="6AC077EB" w:rsidR="00E841D4" w:rsidRPr="008E675E" w:rsidRDefault="00E841D4">
      <w:pPr>
        <w:pStyle w:val="ae"/>
        <w:rPr>
          <w:sz w:val="18"/>
          <w:szCs w:val="18"/>
        </w:rPr>
      </w:pPr>
      <w:r w:rsidRPr="008E675E">
        <w:rPr>
          <w:rStyle w:val="af0"/>
          <w:sz w:val="18"/>
          <w:szCs w:val="18"/>
        </w:rPr>
        <w:footnoteRef/>
      </w:r>
      <w:r w:rsidRPr="008E675E">
        <w:rPr>
          <w:sz w:val="18"/>
          <w:szCs w:val="18"/>
        </w:rPr>
        <w:t xml:space="preserve"> </w:t>
      </w:r>
      <w:r w:rsidRPr="008E675E">
        <w:rPr>
          <w:rFonts w:hint="eastAsia"/>
          <w:sz w:val="18"/>
          <w:szCs w:val="18"/>
        </w:rPr>
        <w:t>臨時休園による特別損失の内訳として、人件費が79億円、諸経費が36億円、減価償却費が81億円、飲食売上原価等の経費が14億円である。</w:t>
      </w:r>
    </w:p>
  </w:footnote>
  <w:footnote w:id="3">
    <w:p w14:paraId="2953A5A6" w14:textId="77777777" w:rsidR="00E841D4" w:rsidRPr="008E675E" w:rsidRDefault="00E841D4" w:rsidP="00A72D6C">
      <w:pPr>
        <w:pStyle w:val="ae"/>
        <w:rPr>
          <w:sz w:val="18"/>
          <w:szCs w:val="20"/>
        </w:rPr>
      </w:pPr>
      <w:r w:rsidRPr="008E675E">
        <w:rPr>
          <w:rStyle w:val="af0"/>
          <w:sz w:val="18"/>
          <w:szCs w:val="20"/>
        </w:rPr>
        <w:footnoteRef/>
      </w:r>
      <w:r w:rsidRPr="008E675E">
        <w:rPr>
          <w:sz w:val="18"/>
          <w:szCs w:val="20"/>
        </w:rPr>
        <w:t xml:space="preserve"> </w:t>
      </w:r>
      <w:r w:rsidRPr="008E675E">
        <w:rPr>
          <w:rFonts w:hint="eastAsia"/>
          <w:sz w:val="18"/>
          <w:szCs w:val="20"/>
        </w:rPr>
        <w:t>綜合ユニコム『月間レジャー産業資料 2019年9月号』によれば</w:t>
      </w:r>
      <w:r>
        <w:rPr>
          <w:rFonts w:hint="eastAsia"/>
          <w:sz w:val="18"/>
          <w:szCs w:val="20"/>
        </w:rPr>
        <w:t>、テーマパークの入場者ランキングは、第1位が東京ディズニーランド・東京ディズニーシーの3255万人に対して、2位がハウステンボスの277万人である。</w:t>
      </w:r>
    </w:p>
  </w:footnote>
  <w:footnote w:id="4">
    <w:p w14:paraId="45EE436D" w14:textId="046893E4" w:rsidR="00E841D4" w:rsidRPr="00643F85" w:rsidRDefault="00E841D4">
      <w:pPr>
        <w:pStyle w:val="ae"/>
        <w:rPr>
          <w:sz w:val="18"/>
          <w:szCs w:val="18"/>
        </w:rPr>
      </w:pPr>
      <w:r w:rsidRPr="00643F85">
        <w:rPr>
          <w:rStyle w:val="af0"/>
          <w:sz w:val="18"/>
          <w:szCs w:val="18"/>
        </w:rPr>
        <w:footnoteRef/>
      </w:r>
      <w:r w:rsidRPr="00643F85">
        <w:rPr>
          <w:sz w:val="18"/>
          <w:szCs w:val="18"/>
        </w:rPr>
        <w:t xml:space="preserve"> </w:t>
      </w:r>
      <w:r w:rsidRPr="00643F85">
        <w:rPr>
          <w:rFonts w:hint="eastAsia"/>
          <w:sz w:val="18"/>
          <w:szCs w:val="18"/>
        </w:rPr>
        <w:t>U</w:t>
      </w:r>
      <w:r w:rsidRPr="00643F85">
        <w:rPr>
          <w:sz w:val="18"/>
          <w:szCs w:val="18"/>
        </w:rPr>
        <w:t>SJ</w:t>
      </w:r>
      <w:r w:rsidRPr="00643F85">
        <w:rPr>
          <w:rFonts w:hint="eastAsia"/>
          <w:sz w:val="18"/>
          <w:szCs w:val="18"/>
        </w:rPr>
        <w:t>（ユニバーサル・スタジオ・ジャパン）が当該分析から対象外となった理由は、上場廃止により財務諸表や来場者数が非公表となったためである。なお、U</w:t>
      </w:r>
      <w:r w:rsidRPr="00643F85">
        <w:rPr>
          <w:sz w:val="18"/>
          <w:szCs w:val="18"/>
        </w:rPr>
        <w:t>SJ</w:t>
      </w:r>
      <w:r w:rsidRPr="00643F85">
        <w:rPr>
          <w:rFonts w:hint="eastAsia"/>
          <w:sz w:val="18"/>
          <w:szCs w:val="18"/>
        </w:rPr>
        <w:t>は2016年時点では、東京ディズニーランドの入場者数</w:t>
      </w:r>
      <w:r>
        <w:rPr>
          <w:rFonts w:hint="eastAsia"/>
          <w:sz w:val="18"/>
          <w:szCs w:val="18"/>
        </w:rPr>
        <w:t>を</w:t>
      </w:r>
      <w:r w:rsidRPr="00643F85">
        <w:rPr>
          <w:rFonts w:hint="eastAsia"/>
          <w:sz w:val="18"/>
          <w:szCs w:val="18"/>
        </w:rPr>
        <w:t>抜いて1460万人の来場者数</w:t>
      </w:r>
      <w:r>
        <w:rPr>
          <w:rFonts w:hint="eastAsia"/>
          <w:sz w:val="18"/>
          <w:szCs w:val="18"/>
        </w:rPr>
        <w:t>を記録している</w:t>
      </w:r>
      <w:r w:rsidRPr="00643F85">
        <w:rPr>
          <w:rFonts w:hint="eastAsia"/>
          <w:sz w:val="18"/>
          <w:szCs w:val="18"/>
        </w:rPr>
        <w:t>。</w:t>
      </w:r>
    </w:p>
  </w:footnote>
  <w:footnote w:id="5">
    <w:p w14:paraId="3905224F" w14:textId="0172C955" w:rsidR="00E841D4" w:rsidRDefault="00E841D4">
      <w:pPr>
        <w:pStyle w:val="ae"/>
      </w:pPr>
      <w:r w:rsidRPr="009E0ABF">
        <w:rPr>
          <w:rStyle w:val="af0"/>
          <w:sz w:val="18"/>
          <w:szCs w:val="20"/>
        </w:rPr>
        <w:footnoteRef/>
      </w:r>
      <w:r w:rsidRPr="009E0ABF">
        <w:rPr>
          <w:sz w:val="18"/>
          <w:szCs w:val="20"/>
        </w:rPr>
        <w:t xml:space="preserve"> </w:t>
      </w:r>
      <w:r>
        <w:rPr>
          <w:rFonts w:hint="eastAsia"/>
          <w:sz w:val="18"/>
          <w:szCs w:val="20"/>
        </w:rPr>
        <w:t>2019年度10月期有価証券報告書によると、売上高8</w:t>
      </w:r>
      <w:r>
        <w:rPr>
          <w:sz w:val="18"/>
          <w:szCs w:val="20"/>
        </w:rPr>
        <w:t>059</w:t>
      </w:r>
      <w:r>
        <w:rPr>
          <w:rFonts w:hint="eastAsia"/>
          <w:sz w:val="18"/>
          <w:szCs w:val="20"/>
        </w:rPr>
        <w:t>億円の内訳は、旅行事業が7224億円、ハウステンボスグループが2</w:t>
      </w:r>
      <w:r>
        <w:rPr>
          <w:sz w:val="18"/>
          <w:szCs w:val="20"/>
        </w:rPr>
        <w:t>80</w:t>
      </w:r>
      <w:r>
        <w:rPr>
          <w:rFonts w:hint="eastAsia"/>
          <w:sz w:val="18"/>
          <w:szCs w:val="20"/>
        </w:rPr>
        <w:t>億円、ホテル事業が1</w:t>
      </w:r>
      <w:r>
        <w:rPr>
          <w:sz w:val="18"/>
          <w:szCs w:val="20"/>
        </w:rPr>
        <w:t>26</w:t>
      </w:r>
      <w:r>
        <w:rPr>
          <w:rFonts w:hint="eastAsia"/>
          <w:sz w:val="18"/>
          <w:szCs w:val="20"/>
        </w:rPr>
        <w:t>億円、九州産交グループが2</w:t>
      </w:r>
      <w:r>
        <w:rPr>
          <w:sz w:val="18"/>
          <w:szCs w:val="20"/>
        </w:rPr>
        <w:t>22</w:t>
      </w:r>
      <w:r>
        <w:rPr>
          <w:rFonts w:hint="eastAsia"/>
          <w:sz w:val="18"/>
          <w:szCs w:val="20"/>
        </w:rPr>
        <w:t>億円、エネルギー事業が2</w:t>
      </w:r>
      <w:r>
        <w:rPr>
          <w:sz w:val="18"/>
          <w:szCs w:val="20"/>
        </w:rPr>
        <w:t>04</w:t>
      </w:r>
      <w:r>
        <w:rPr>
          <w:rFonts w:hint="eastAsia"/>
          <w:sz w:val="18"/>
          <w:szCs w:val="20"/>
        </w:rPr>
        <w:t>億円である。</w:t>
      </w:r>
    </w:p>
  </w:footnote>
  <w:footnote w:id="6">
    <w:p w14:paraId="3C916EBF" w14:textId="594749C2" w:rsidR="00E841D4" w:rsidRDefault="00E841D4" w:rsidP="00C05B0C">
      <w:pPr>
        <w:pStyle w:val="ae"/>
      </w:pPr>
      <w:r w:rsidRPr="00EB6028">
        <w:rPr>
          <w:rStyle w:val="af0"/>
          <w:sz w:val="18"/>
          <w:szCs w:val="20"/>
        </w:rPr>
        <w:footnoteRef/>
      </w:r>
      <w:r w:rsidRPr="00EB6028">
        <w:rPr>
          <w:sz w:val="18"/>
          <w:szCs w:val="20"/>
        </w:rPr>
        <w:t xml:space="preserve"> </w:t>
      </w:r>
      <w:r>
        <w:rPr>
          <w:rFonts w:hint="eastAsia"/>
          <w:sz w:val="18"/>
          <w:szCs w:val="20"/>
        </w:rPr>
        <w:t>2020年度中小企業白書によると、不動産業のR</w:t>
      </w:r>
      <w:r>
        <w:rPr>
          <w:sz w:val="18"/>
          <w:szCs w:val="20"/>
        </w:rPr>
        <w:t>OE</w:t>
      </w:r>
      <w:r>
        <w:rPr>
          <w:rFonts w:hint="eastAsia"/>
          <w:sz w:val="18"/>
          <w:szCs w:val="20"/>
        </w:rPr>
        <w:t>の平均は1</w:t>
      </w:r>
      <w:r>
        <w:rPr>
          <w:sz w:val="18"/>
          <w:szCs w:val="20"/>
        </w:rPr>
        <w:t>5.0%</w:t>
      </w:r>
      <w:r>
        <w:rPr>
          <w:rFonts w:hint="eastAsia"/>
          <w:sz w:val="18"/>
          <w:szCs w:val="20"/>
        </w:rPr>
        <w:t>で、そのうち総資本回転率が</w:t>
      </w:r>
      <w:r>
        <w:rPr>
          <w:sz w:val="18"/>
          <w:szCs w:val="20"/>
        </w:rPr>
        <w:t>35%</w:t>
      </w:r>
      <w:r>
        <w:rPr>
          <w:rFonts w:hint="eastAsia"/>
          <w:sz w:val="18"/>
          <w:szCs w:val="20"/>
        </w:rPr>
        <w:t>（0.35）、自己資本比率が3</w:t>
      </w:r>
      <w:r>
        <w:rPr>
          <w:sz w:val="18"/>
          <w:szCs w:val="20"/>
        </w:rPr>
        <w:t>9.9%</w:t>
      </w:r>
      <w:r>
        <w:rPr>
          <w:rFonts w:hint="eastAsia"/>
          <w:sz w:val="18"/>
          <w:szCs w:val="20"/>
        </w:rPr>
        <w:t>、財務レバレッジが2</w:t>
      </w:r>
      <w:r>
        <w:rPr>
          <w:sz w:val="18"/>
          <w:szCs w:val="20"/>
        </w:rPr>
        <w:t>.5</w:t>
      </w:r>
      <w:r>
        <w:rPr>
          <w:rFonts w:hint="eastAsia"/>
          <w:sz w:val="18"/>
          <w:szCs w:val="20"/>
        </w:rPr>
        <w:t>である。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162B2"/>
    <w:multiLevelType w:val="hybridMultilevel"/>
    <w:tmpl w:val="27485C72"/>
    <w:lvl w:ilvl="0" w:tplc="FFFFFFF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3F"/>
    <w:rsid w:val="00001C07"/>
    <w:rsid w:val="00001E66"/>
    <w:rsid w:val="000020A6"/>
    <w:rsid w:val="00014677"/>
    <w:rsid w:val="000168F9"/>
    <w:rsid w:val="000214C0"/>
    <w:rsid w:val="000273FF"/>
    <w:rsid w:val="0002785B"/>
    <w:rsid w:val="00035472"/>
    <w:rsid w:val="0004764F"/>
    <w:rsid w:val="0005355D"/>
    <w:rsid w:val="000663DE"/>
    <w:rsid w:val="00086A6C"/>
    <w:rsid w:val="00091D5E"/>
    <w:rsid w:val="000A037E"/>
    <w:rsid w:val="000D5C60"/>
    <w:rsid w:val="000D65F4"/>
    <w:rsid w:val="000D6D5E"/>
    <w:rsid w:val="000F22C5"/>
    <w:rsid w:val="00110BBD"/>
    <w:rsid w:val="0012638A"/>
    <w:rsid w:val="00126CE0"/>
    <w:rsid w:val="001329D5"/>
    <w:rsid w:val="00141BD5"/>
    <w:rsid w:val="001423CA"/>
    <w:rsid w:val="00151A9E"/>
    <w:rsid w:val="001603CC"/>
    <w:rsid w:val="001A40E5"/>
    <w:rsid w:val="001B11F1"/>
    <w:rsid w:val="001B6F39"/>
    <w:rsid w:val="001C0E19"/>
    <w:rsid w:val="001C4C53"/>
    <w:rsid w:val="001C7908"/>
    <w:rsid w:val="001D30E8"/>
    <w:rsid w:val="001E0183"/>
    <w:rsid w:val="001F1C7F"/>
    <w:rsid w:val="001F74AF"/>
    <w:rsid w:val="00203550"/>
    <w:rsid w:val="0021402D"/>
    <w:rsid w:val="002169D5"/>
    <w:rsid w:val="00223AC8"/>
    <w:rsid w:val="002357F5"/>
    <w:rsid w:val="00241DE6"/>
    <w:rsid w:val="0024372F"/>
    <w:rsid w:val="002501FF"/>
    <w:rsid w:val="00252130"/>
    <w:rsid w:val="002573EA"/>
    <w:rsid w:val="00265BB3"/>
    <w:rsid w:val="00271FC8"/>
    <w:rsid w:val="00274849"/>
    <w:rsid w:val="00277B1B"/>
    <w:rsid w:val="00282758"/>
    <w:rsid w:val="0028600C"/>
    <w:rsid w:val="00287628"/>
    <w:rsid w:val="002915D5"/>
    <w:rsid w:val="002A1FE2"/>
    <w:rsid w:val="002A316D"/>
    <w:rsid w:val="002D3057"/>
    <w:rsid w:val="002D3BDC"/>
    <w:rsid w:val="002D5420"/>
    <w:rsid w:val="002E5464"/>
    <w:rsid w:val="002F2A34"/>
    <w:rsid w:val="002F6109"/>
    <w:rsid w:val="003075B8"/>
    <w:rsid w:val="00317918"/>
    <w:rsid w:val="0032261E"/>
    <w:rsid w:val="00332F2F"/>
    <w:rsid w:val="003451DC"/>
    <w:rsid w:val="0035247D"/>
    <w:rsid w:val="003544E3"/>
    <w:rsid w:val="003673CF"/>
    <w:rsid w:val="003708E8"/>
    <w:rsid w:val="00382FA8"/>
    <w:rsid w:val="00383222"/>
    <w:rsid w:val="00385DCF"/>
    <w:rsid w:val="00395410"/>
    <w:rsid w:val="003977DD"/>
    <w:rsid w:val="003A6F98"/>
    <w:rsid w:val="003A7312"/>
    <w:rsid w:val="003B335A"/>
    <w:rsid w:val="003B4230"/>
    <w:rsid w:val="003C2177"/>
    <w:rsid w:val="003C7357"/>
    <w:rsid w:val="003F3587"/>
    <w:rsid w:val="00415F57"/>
    <w:rsid w:val="00431DBC"/>
    <w:rsid w:val="00434C8E"/>
    <w:rsid w:val="00437ECC"/>
    <w:rsid w:val="0046393E"/>
    <w:rsid w:val="00465D2E"/>
    <w:rsid w:val="00466F27"/>
    <w:rsid w:val="00481A1B"/>
    <w:rsid w:val="004A343F"/>
    <w:rsid w:val="004A4E9B"/>
    <w:rsid w:val="004B49C8"/>
    <w:rsid w:val="004C005A"/>
    <w:rsid w:val="004D46B9"/>
    <w:rsid w:val="004D6105"/>
    <w:rsid w:val="004D641D"/>
    <w:rsid w:val="005014DF"/>
    <w:rsid w:val="00511E0A"/>
    <w:rsid w:val="00517566"/>
    <w:rsid w:val="005236A4"/>
    <w:rsid w:val="00530498"/>
    <w:rsid w:val="00530ADA"/>
    <w:rsid w:val="00537244"/>
    <w:rsid w:val="00541560"/>
    <w:rsid w:val="00560108"/>
    <w:rsid w:val="0056142A"/>
    <w:rsid w:val="005623F0"/>
    <w:rsid w:val="0058072C"/>
    <w:rsid w:val="005A2F4C"/>
    <w:rsid w:val="005A5928"/>
    <w:rsid w:val="005A7EA0"/>
    <w:rsid w:val="005C5E96"/>
    <w:rsid w:val="005E21E6"/>
    <w:rsid w:val="005E56DC"/>
    <w:rsid w:val="005E70F9"/>
    <w:rsid w:val="005E7A87"/>
    <w:rsid w:val="005F6B2A"/>
    <w:rsid w:val="006001C1"/>
    <w:rsid w:val="00601AA9"/>
    <w:rsid w:val="00604ABF"/>
    <w:rsid w:val="00605D23"/>
    <w:rsid w:val="0061465B"/>
    <w:rsid w:val="00623D33"/>
    <w:rsid w:val="0064091B"/>
    <w:rsid w:val="00643F85"/>
    <w:rsid w:val="00661F3C"/>
    <w:rsid w:val="00664180"/>
    <w:rsid w:val="00667B61"/>
    <w:rsid w:val="006764C9"/>
    <w:rsid w:val="00681EDD"/>
    <w:rsid w:val="00686F3F"/>
    <w:rsid w:val="006A3963"/>
    <w:rsid w:val="006B132C"/>
    <w:rsid w:val="006C2C10"/>
    <w:rsid w:val="006D42E6"/>
    <w:rsid w:val="006D7DB6"/>
    <w:rsid w:val="006F241C"/>
    <w:rsid w:val="006F3047"/>
    <w:rsid w:val="006F566E"/>
    <w:rsid w:val="007119F1"/>
    <w:rsid w:val="00711EF9"/>
    <w:rsid w:val="007172EC"/>
    <w:rsid w:val="00720ED7"/>
    <w:rsid w:val="0074284B"/>
    <w:rsid w:val="00757F28"/>
    <w:rsid w:val="00767985"/>
    <w:rsid w:val="00776590"/>
    <w:rsid w:val="00777741"/>
    <w:rsid w:val="00783DC0"/>
    <w:rsid w:val="007841EC"/>
    <w:rsid w:val="00793BD7"/>
    <w:rsid w:val="00793D6D"/>
    <w:rsid w:val="0079537D"/>
    <w:rsid w:val="007A50F3"/>
    <w:rsid w:val="007B3065"/>
    <w:rsid w:val="007B451E"/>
    <w:rsid w:val="007B4DE0"/>
    <w:rsid w:val="007B76EE"/>
    <w:rsid w:val="007D18F8"/>
    <w:rsid w:val="007D20F1"/>
    <w:rsid w:val="007E008C"/>
    <w:rsid w:val="00814D94"/>
    <w:rsid w:val="00824944"/>
    <w:rsid w:val="0084560F"/>
    <w:rsid w:val="00845C2E"/>
    <w:rsid w:val="00851722"/>
    <w:rsid w:val="008579BD"/>
    <w:rsid w:val="00862E42"/>
    <w:rsid w:val="00863903"/>
    <w:rsid w:val="00866310"/>
    <w:rsid w:val="00883B98"/>
    <w:rsid w:val="00886857"/>
    <w:rsid w:val="008931D3"/>
    <w:rsid w:val="008A174F"/>
    <w:rsid w:val="008B2DFF"/>
    <w:rsid w:val="008B62B4"/>
    <w:rsid w:val="008B724B"/>
    <w:rsid w:val="008B7D41"/>
    <w:rsid w:val="008D3845"/>
    <w:rsid w:val="008D441A"/>
    <w:rsid w:val="008D4E21"/>
    <w:rsid w:val="008D5BFE"/>
    <w:rsid w:val="008E2482"/>
    <w:rsid w:val="008E675E"/>
    <w:rsid w:val="008F1C39"/>
    <w:rsid w:val="00904313"/>
    <w:rsid w:val="00905219"/>
    <w:rsid w:val="009068B1"/>
    <w:rsid w:val="00911633"/>
    <w:rsid w:val="00914AD4"/>
    <w:rsid w:val="009208D8"/>
    <w:rsid w:val="00920FD5"/>
    <w:rsid w:val="009300B0"/>
    <w:rsid w:val="00931825"/>
    <w:rsid w:val="00931F68"/>
    <w:rsid w:val="00936E34"/>
    <w:rsid w:val="009413DE"/>
    <w:rsid w:val="00951807"/>
    <w:rsid w:val="009B6A6F"/>
    <w:rsid w:val="009C2FD4"/>
    <w:rsid w:val="009C6029"/>
    <w:rsid w:val="009D2020"/>
    <w:rsid w:val="009D45BC"/>
    <w:rsid w:val="009E0ABF"/>
    <w:rsid w:val="009E47A0"/>
    <w:rsid w:val="009E4A07"/>
    <w:rsid w:val="009F00F0"/>
    <w:rsid w:val="00A0520C"/>
    <w:rsid w:val="00A05E52"/>
    <w:rsid w:val="00A07368"/>
    <w:rsid w:val="00A1127F"/>
    <w:rsid w:val="00A24F22"/>
    <w:rsid w:val="00A279A8"/>
    <w:rsid w:val="00A32F6F"/>
    <w:rsid w:val="00A331BF"/>
    <w:rsid w:val="00A51A7A"/>
    <w:rsid w:val="00A54DBD"/>
    <w:rsid w:val="00A5639E"/>
    <w:rsid w:val="00A60B87"/>
    <w:rsid w:val="00A620EE"/>
    <w:rsid w:val="00A64489"/>
    <w:rsid w:val="00A71746"/>
    <w:rsid w:val="00A72D6C"/>
    <w:rsid w:val="00A77195"/>
    <w:rsid w:val="00A77DD5"/>
    <w:rsid w:val="00A83197"/>
    <w:rsid w:val="00A90290"/>
    <w:rsid w:val="00A97CF9"/>
    <w:rsid w:val="00AA2E31"/>
    <w:rsid w:val="00AC2D6F"/>
    <w:rsid w:val="00AC6119"/>
    <w:rsid w:val="00AD30B9"/>
    <w:rsid w:val="00AE2381"/>
    <w:rsid w:val="00AF3BD8"/>
    <w:rsid w:val="00B073F8"/>
    <w:rsid w:val="00B10253"/>
    <w:rsid w:val="00B123B5"/>
    <w:rsid w:val="00B15EF4"/>
    <w:rsid w:val="00B168F8"/>
    <w:rsid w:val="00B30C56"/>
    <w:rsid w:val="00B33C12"/>
    <w:rsid w:val="00B44B6D"/>
    <w:rsid w:val="00B52658"/>
    <w:rsid w:val="00B736BB"/>
    <w:rsid w:val="00B74F75"/>
    <w:rsid w:val="00B940E6"/>
    <w:rsid w:val="00BA0B29"/>
    <w:rsid w:val="00BA1F98"/>
    <w:rsid w:val="00BA4524"/>
    <w:rsid w:val="00BA6333"/>
    <w:rsid w:val="00BB1EAB"/>
    <w:rsid w:val="00BB4567"/>
    <w:rsid w:val="00BD01C3"/>
    <w:rsid w:val="00BF1EFB"/>
    <w:rsid w:val="00BF4F0D"/>
    <w:rsid w:val="00C01BB9"/>
    <w:rsid w:val="00C042B7"/>
    <w:rsid w:val="00C04CB0"/>
    <w:rsid w:val="00C05B0C"/>
    <w:rsid w:val="00C06F79"/>
    <w:rsid w:val="00C305BE"/>
    <w:rsid w:val="00C33AD6"/>
    <w:rsid w:val="00C40509"/>
    <w:rsid w:val="00C445D7"/>
    <w:rsid w:val="00C5023B"/>
    <w:rsid w:val="00C51AE1"/>
    <w:rsid w:val="00C53144"/>
    <w:rsid w:val="00C54E34"/>
    <w:rsid w:val="00C557E8"/>
    <w:rsid w:val="00C61B06"/>
    <w:rsid w:val="00C677B4"/>
    <w:rsid w:val="00C70608"/>
    <w:rsid w:val="00C7094B"/>
    <w:rsid w:val="00C74F0E"/>
    <w:rsid w:val="00C76E3E"/>
    <w:rsid w:val="00C811AD"/>
    <w:rsid w:val="00C92144"/>
    <w:rsid w:val="00CA0898"/>
    <w:rsid w:val="00CA5880"/>
    <w:rsid w:val="00CA6720"/>
    <w:rsid w:val="00CC38C8"/>
    <w:rsid w:val="00CC484E"/>
    <w:rsid w:val="00CC554F"/>
    <w:rsid w:val="00CD183F"/>
    <w:rsid w:val="00CF0861"/>
    <w:rsid w:val="00D0450A"/>
    <w:rsid w:val="00D07BB8"/>
    <w:rsid w:val="00D144F7"/>
    <w:rsid w:val="00D16285"/>
    <w:rsid w:val="00D16434"/>
    <w:rsid w:val="00D16A14"/>
    <w:rsid w:val="00D20C89"/>
    <w:rsid w:val="00D22C9E"/>
    <w:rsid w:val="00D258FB"/>
    <w:rsid w:val="00D25F56"/>
    <w:rsid w:val="00D27E56"/>
    <w:rsid w:val="00D37310"/>
    <w:rsid w:val="00D47588"/>
    <w:rsid w:val="00D82D21"/>
    <w:rsid w:val="00DA3FCF"/>
    <w:rsid w:val="00DB21E6"/>
    <w:rsid w:val="00DB4B5E"/>
    <w:rsid w:val="00DB64A0"/>
    <w:rsid w:val="00DC5360"/>
    <w:rsid w:val="00DD0703"/>
    <w:rsid w:val="00DD6686"/>
    <w:rsid w:val="00DE22CF"/>
    <w:rsid w:val="00DE6764"/>
    <w:rsid w:val="00DF1BDA"/>
    <w:rsid w:val="00DF4A44"/>
    <w:rsid w:val="00DF54BE"/>
    <w:rsid w:val="00E0409C"/>
    <w:rsid w:val="00E23A07"/>
    <w:rsid w:val="00E30F43"/>
    <w:rsid w:val="00E35BD9"/>
    <w:rsid w:val="00E40303"/>
    <w:rsid w:val="00E47EE8"/>
    <w:rsid w:val="00E548A3"/>
    <w:rsid w:val="00E54B48"/>
    <w:rsid w:val="00E57198"/>
    <w:rsid w:val="00E608C3"/>
    <w:rsid w:val="00E6553C"/>
    <w:rsid w:val="00E841D4"/>
    <w:rsid w:val="00E87D6F"/>
    <w:rsid w:val="00EB1F09"/>
    <w:rsid w:val="00EB201A"/>
    <w:rsid w:val="00EB37FF"/>
    <w:rsid w:val="00EB6028"/>
    <w:rsid w:val="00ED3B04"/>
    <w:rsid w:val="00ED4EB0"/>
    <w:rsid w:val="00EE2A83"/>
    <w:rsid w:val="00EF02F3"/>
    <w:rsid w:val="00EF4E49"/>
    <w:rsid w:val="00F06938"/>
    <w:rsid w:val="00F12904"/>
    <w:rsid w:val="00F17253"/>
    <w:rsid w:val="00F2282E"/>
    <w:rsid w:val="00F23D0D"/>
    <w:rsid w:val="00F52F8B"/>
    <w:rsid w:val="00F64CF9"/>
    <w:rsid w:val="00F70847"/>
    <w:rsid w:val="00F74E3C"/>
    <w:rsid w:val="00F75752"/>
    <w:rsid w:val="00F91529"/>
    <w:rsid w:val="00F95CB1"/>
    <w:rsid w:val="00FB3545"/>
    <w:rsid w:val="00FB7D76"/>
    <w:rsid w:val="00FD1186"/>
    <w:rsid w:val="00FD4310"/>
    <w:rsid w:val="00FE61B3"/>
    <w:rsid w:val="00FF7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A5E1A3"/>
  <w15:chartTrackingRefBased/>
  <w15:docId w15:val="{4D1D8735-23F4-814E-A0BB-D111D64C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09C"/>
    <w:pPr>
      <w:widowControl w:val="0"/>
      <w:jc w:val="both"/>
    </w:pPr>
  </w:style>
  <w:style w:type="paragraph" w:styleId="1">
    <w:name w:val="heading 1"/>
    <w:basedOn w:val="a"/>
    <w:next w:val="a"/>
    <w:link w:val="10"/>
    <w:uiPriority w:val="9"/>
    <w:qFormat/>
    <w:rsid w:val="002501F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E676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3AC8"/>
    <w:rPr>
      <w:color w:val="0563C1" w:themeColor="hyperlink"/>
      <w:u w:val="single"/>
    </w:rPr>
  </w:style>
  <w:style w:type="character" w:styleId="a4">
    <w:name w:val="Unresolved Mention"/>
    <w:basedOn w:val="a0"/>
    <w:uiPriority w:val="99"/>
    <w:semiHidden/>
    <w:unhideWhenUsed/>
    <w:rsid w:val="00223AC8"/>
    <w:rPr>
      <w:color w:val="605E5C"/>
      <w:shd w:val="clear" w:color="auto" w:fill="E1DFDD"/>
    </w:rPr>
  </w:style>
  <w:style w:type="character" w:customStyle="1" w:styleId="10">
    <w:name w:val="見出し 1 (文字)"/>
    <w:basedOn w:val="a0"/>
    <w:link w:val="1"/>
    <w:uiPriority w:val="9"/>
    <w:rsid w:val="002501FF"/>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DE6764"/>
    <w:rPr>
      <w:rFonts w:asciiTheme="majorHAnsi" w:eastAsiaTheme="majorEastAsia" w:hAnsiTheme="majorHAnsi" w:cstheme="majorBidi"/>
    </w:rPr>
  </w:style>
  <w:style w:type="character" w:styleId="a5">
    <w:name w:val="FollowedHyperlink"/>
    <w:basedOn w:val="a0"/>
    <w:uiPriority w:val="99"/>
    <w:semiHidden/>
    <w:unhideWhenUsed/>
    <w:rsid w:val="00905219"/>
    <w:rPr>
      <w:color w:val="954F72" w:themeColor="followedHyperlink"/>
      <w:u w:val="single"/>
    </w:rPr>
  </w:style>
  <w:style w:type="paragraph" w:styleId="a6">
    <w:name w:val="header"/>
    <w:basedOn w:val="a"/>
    <w:link w:val="a7"/>
    <w:uiPriority w:val="99"/>
    <w:unhideWhenUsed/>
    <w:rsid w:val="004D6105"/>
    <w:pPr>
      <w:tabs>
        <w:tab w:val="center" w:pos="4252"/>
        <w:tab w:val="right" w:pos="8504"/>
      </w:tabs>
      <w:snapToGrid w:val="0"/>
    </w:pPr>
  </w:style>
  <w:style w:type="character" w:customStyle="1" w:styleId="a7">
    <w:name w:val="ヘッダー (文字)"/>
    <w:basedOn w:val="a0"/>
    <w:link w:val="a6"/>
    <w:uiPriority w:val="99"/>
    <w:rsid w:val="004D6105"/>
  </w:style>
  <w:style w:type="paragraph" w:styleId="a8">
    <w:name w:val="footer"/>
    <w:basedOn w:val="a"/>
    <w:link w:val="a9"/>
    <w:uiPriority w:val="99"/>
    <w:unhideWhenUsed/>
    <w:rsid w:val="004D6105"/>
    <w:pPr>
      <w:tabs>
        <w:tab w:val="center" w:pos="4252"/>
        <w:tab w:val="right" w:pos="8504"/>
      </w:tabs>
      <w:snapToGrid w:val="0"/>
    </w:pPr>
  </w:style>
  <w:style w:type="character" w:customStyle="1" w:styleId="a9">
    <w:name w:val="フッター (文字)"/>
    <w:basedOn w:val="a0"/>
    <w:link w:val="a8"/>
    <w:uiPriority w:val="99"/>
    <w:rsid w:val="004D6105"/>
  </w:style>
  <w:style w:type="paragraph" w:styleId="aa">
    <w:name w:val="List Paragraph"/>
    <w:basedOn w:val="a"/>
    <w:uiPriority w:val="34"/>
    <w:qFormat/>
    <w:rsid w:val="008D5BFE"/>
    <w:pPr>
      <w:ind w:leftChars="400" w:left="840"/>
    </w:pPr>
  </w:style>
  <w:style w:type="paragraph" w:styleId="ab">
    <w:name w:val="Date"/>
    <w:basedOn w:val="a"/>
    <w:next w:val="a"/>
    <w:link w:val="ac"/>
    <w:uiPriority w:val="99"/>
    <w:semiHidden/>
    <w:unhideWhenUsed/>
    <w:rsid w:val="00530498"/>
  </w:style>
  <w:style w:type="character" w:customStyle="1" w:styleId="ac">
    <w:name w:val="日付 (文字)"/>
    <w:basedOn w:val="a0"/>
    <w:link w:val="ab"/>
    <w:uiPriority w:val="99"/>
    <w:semiHidden/>
    <w:rsid w:val="00530498"/>
  </w:style>
  <w:style w:type="table" w:styleId="ad">
    <w:name w:val="Table Grid"/>
    <w:basedOn w:val="a1"/>
    <w:uiPriority w:val="39"/>
    <w:rsid w:val="006D4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BA1F98"/>
    <w:pPr>
      <w:snapToGrid w:val="0"/>
      <w:jc w:val="left"/>
    </w:pPr>
  </w:style>
  <w:style w:type="character" w:customStyle="1" w:styleId="af">
    <w:name w:val="脚注文字列 (文字)"/>
    <w:basedOn w:val="a0"/>
    <w:link w:val="ae"/>
    <w:uiPriority w:val="99"/>
    <w:semiHidden/>
    <w:rsid w:val="00BA1F98"/>
  </w:style>
  <w:style w:type="character" w:styleId="af0">
    <w:name w:val="footnote reference"/>
    <w:basedOn w:val="a0"/>
    <w:uiPriority w:val="99"/>
    <w:semiHidden/>
    <w:unhideWhenUsed/>
    <w:rsid w:val="00BA1F98"/>
    <w:rPr>
      <w:vertAlign w:val="superscript"/>
    </w:rPr>
  </w:style>
  <w:style w:type="paragraph" w:styleId="af1">
    <w:name w:val="Balloon Text"/>
    <w:basedOn w:val="a"/>
    <w:link w:val="af2"/>
    <w:uiPriority w:val="99"/>
    <w:semiHidden/>
    <w:unhideWhenUsed/>
    <w:rsid w:val="007B4DE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B4D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2385">
      <w:bodyDiv w:val="1"/>
      <w:marLeft w:val="0"/>
      <w:marRight w:val="0"/>
      <w:marTop w:val="0"/>
      <w:marBottom w:val="0"/>
      <w:divBdr>
        <w:top w:val="none" w:sz="0" w:space="0" w:color="auto"/>
        <w:left w:val="none" w:sz="0" w:space="0" w:color="auto"/>
        <w:bottom w:val="none" w:sz="0" w:space="0" w:color="auto"/>
        <w:right w:val="none" w:sz="0" w:space="0" w:color="auto"/>
      </w:divBdr>
    </w:div>
    <w:div w:id="51004858">
      <w:bodyDiv w:val="1"/>
      <w:marLeft w:val="0"/>
      <w:marRight w:val="0"/>
      <w:marTop w:val="0"/>
      <w:marBottom w:val="0"/>
      <w:divBdr>
        <w:top w:val="none" w:sz="0" w:space="0" w:color="auto"/>
        <w:left w:val="none" w:sz="0" w:space="0" w:color="auto"/>
        <w:bottom w:val="none" w:sz="0" w:space="0" w:color="auto"/>
        <w:right w:val="none" w:sz="0" w:space="0" w:color="auto"/>
      </w:divBdr>
    </w:div>
    <w:div w:id="128128840">
      <w:bodyDiv w:val="1"/>
      <w:marLeft w:val="0"/>
      <w:marRight w:val="0"/>
      <w:marTop w:val="0"/>
      <w:marBottom w:val="0"/>
      <w:divBdr>
        <w:top w:val="none" w:sz="0" w:space="0" w:color="auto"/>
        <w:left w:val="none" w:sz="0" w:space="0" w:color="auto"/>
        <w:bottom w:val="none" w:sz="0" w:space="0" w:color="auto"/>
        <w:right w:val="none" w:sz="0" w:space="0" w:color="auto"/>
      </w:divBdr>
    </w:div>
    <w:div w:id="338586942">
      <w:bodyDiv w:val="1"/>
      <w:marLeft w:val="0"/>
      <w:marRight w:val="0"/>
      <w:marTop w:val="0"/>
      <w:marBottom w:val="0"/>
      <w:divBdr>
        <w:top w:val="none" w:sz="0" w:space="0" w:color="auto"/>
        <w:left w:val="none" w:sz="0" w:space="0" w:color="auto"/>
        <w:bottom w:val="none" w:sz="0" w:space="0" w:color="auto"/>
        <w:right w:val="none" w:sz="0" w:space="0" w:color="auto"/>
      </w:divBdr>
    </w:div>
    <w:div w:id="424694064">
      <w:bodyDiv w:val="1"/>
      <w:marLeft w:val="0"/>
      <w:marRight w:val="0"/>
      <w:marTop w:val="0"/>
      <w:marBottom w:val="0"/>
      <w:divBdr>
        <w:top w:val="none" w:sz="0" w:space="0" w:color="auto"/>
        <w:left w:val="none" w:sz="0" w:space="0" w:color="auto"/>
        <w:bottom w:val="none" w:sz="0" w:space="0" w:color="auto"/>
        <w:right w:val="none" w:sz="0" w:space="0" w:color="auto"/>
      </w:divBdr>
    </w:div>
    <w:div w:id="441076951">
      <w:bodyDiv w:val="1"/>
      <w:marLeft w:val="0"/>
      <w:marRight w:val="0"/>
      <w:marTop w:val="0"/>
      <w:marBottom w:val="0"/>
      <w:divBdr>
        <w:top w:val="none" w:sz="0" w:space="0" w:color="auto"/>
        <w:left w:val="none" w:sz="0" w:space="0" w:color="auto"/>
        <w:bottom w:val="none" w:sz="0" w:space="0" w:color="auto"/>
        <w:right w:val="none" w:sz="0" w:space="0" w:color="auto"/>
      </w:divBdr>
    </w:div>
    <w:div w:id="601717781">
      <w:bodyDiv w:val="1"/>
      <w:marLeft w:val="0"/>
      <w:marRight w:val="0"/>
      <w:marTop w:val="0"/>
      <w:marBottom w:val="0"/>
      <w:divBdr>
        <w:top w:val="none" w:sz="0" w:space="0" w:color="auto"/>
        <w:left w:val="none" w:sz="0" w:space="0" w:color="auto"/>
        <w:bottom w:val="none" w:sz="0" w:space="0" w:color="auto"/>
        <w:right w:val="none" w:sz="0" w:space="0" w:color="auto"/>
      </w:divBdr>
    </w:div>
    <w:div w:id="659577914">
      <w:bodyDiv w:val="1"/>
      <w:marLeft w:val="0"/>
      <w:marRight w:val="0"/>
      <w:marTop w:val="0"/>
      <w:marBottom w:val="0"/>
      <w:divBdr>
        <w:top w:val="none" w:sz="0" w:space="0" w:color="auto"/>
        <w:left w:val="none" w:sz="0" w:space="0" w:color="auto"/>
        <w:bottom w:val="none" w:sz="0" w:space="0" w:color="auto"/>
        <w:right w:val="none" w:sz="0" w:space="0" w:color="auto"/>
      </w:divBdr>
    </w:div>
    <w:div w:id="703559308">
      <w:bodyDiv w:val="1"/>
      <w:marLeft w:val="0"/>
      <w:marRight w:val="0"/>
      <w:marTop w:val="0"/>
      <w:marBottom w:val="0"/>
      <w:divBdr>
        <w:top w:val="none" w:sz="0" w:space="0" w:color="auto"/>
        <w:left w:val="none" w:sz="0" w:space="0" w:color="auto"/>
        <w:bottom w:val="none" w:sz="0" w:space="0" w:color="auto"/>
        <w:right w:val="none" w:sz="0" w:space="0" w:color="auto"/>
      </w:divBdr>
    </w:div>
    <w:div w:id="1006397779">
      <w:bodyDiv w:val="1"/>
      <w:marLeft w:val="0"/>
      <w:marRight w:val="0"/>
      <w:marTop w:val="0"/>
      <w:marBottom w:val="0"/>
      <w:divBdr>
        <w:top w:val="none" w:sz="0" w:space="0" w:color="auto"/>
        <w:left w:val="none" w:sz="0" w:space="0" w:color="auto"/>
        <w:bottom w:val="none" w:sz="0" w:space="0" w:color="auto"/>
        <w:right w:val="none" w:sz="0" w:space="0" w:color="auto"/>
      </w:divBdr>
    </w:div>
    <w:div w:id="1174540497">
      <w:bodyDiv w:val="1"/>
      <w:marLeft w:val="0"/>
      <w:marRight w:val="0"/>
      <w:marTop w:val="0"/>
      <w:marBottom w:val="0"/>
      <w:divBdr>
        <w:top w:val="none" w:sz="0" w:space="0" w:color="auto"/>
        <w:left w:val="none" w:sz="0" w:space="0" w:color="auto"/>
        <w:bottom w:val="none" w:sz="0" w:space="0" w:color="auto"/>
        <w:right w:val="none" w:sz="0" w:space="0" w:color="auto"/>
      </w:divBdr>
    </w:div>
    <w:div w:id="1239947994">
      <w:bodyDiv w:val="1"/>
      <w:marLeft w:val="0"/>
      <w:marRight w:val="0"/>
      <w:marTop w:val="0"/>
      <w:marBottom w:val="0"/>
      <w:divBdr>
        <w:top w:val="none" w:sz="0" w:space="0" w:color="auto"/>
        <w:left w:val="none" w:sz="0" w:space="0" w:color="auto"/>
        <w:bottom w:val="none" w:sz="0" w:space="0" w:color="auto"/>
        <w:right w:val="none" w:sz="0" w:space="0" w:color="auto"/>
      </w:divBdr>
    </w:div>
    <w:div w:id="1516529475">
      <w:bodyDiv w:val="1"/>
      <w:marLeft w:val="0"/>
      <w:marRight w:val="0"/>
      <w:marTop w:val="0"/>
      <w:marBottom w:val="0"/>
      <w:divBdr>
        <w:top w:val="none" w:sz="0" w:space="0" w:color="auto"/>
        <w:left w:val="none" w:sz="0" w:space="0" w:color="auto"/>
        <w:bottom w:val="none" w:sz="0" w:space="0" w:color="auto"/>
        <w:right w:val="none" w:sz="0" w:space="0" w:color="auto"/>
      </w:divBdr>
    </w:div>
    <w:div w:id="1570772376">
      <w:bodyDiv w:val="1"/>
      <w:marLeft w:val="0"/>
      <w:marRight w:val="0"/>
      <w:marTop w:val="0"/>
      <w:marBottom w:val="0"/>
      <w:divBdr>
        <w:top w:val="none" w:sz="0" w:space="0" w:color="auto"/>
        <w:left w:val="none" w:sz="0" w:space="0" w:color="auto"/>
        <w:bottom w:val="none" w:sz="0" w:space="0" w:color="auto"/>
        <w:right w:val="none" w:sz="0" w:space="0" w:color="auto"/>
      </w:divBdr>
    </w:div>
    <w:div w:id="1593587689">
      <w:bodyDiv w:val="1"/>
      <w:marLeft w:val="0"/>
      <w:marRight w:val="0"/>
      <w:marTop w:val="0"/>
      <w:marBottom w:val="0"/>
      <w:divBdr>
        <w:top w:val="none" w:sz="0" w:space="0" w:color="auto"/>
        <w:left w:val="none" w:sz="0" w:space="0" w:color="auto"/>
        <w:bottom w:val="none" w:sz="0" w:space="0" w:color="auto"/>
        <w:right w:val="none" w:sz="0" w:space="0" w:color="auto"/>
      </w:divBdr>
    </w:div>
    <w:div w:id="1863667645">
      <w:bodyDiv w:val="1"/>
      <w:marLeft w:val="0"/>
      <w:marRight w:val="0"/>
      <w:marTop w:val="0"/>
      <w:marBottom w:val="0"/>
      <w:divBdr>
        <w:top w:val="none" w:sz="0" w:space="0" w:color="auto"/>
        <w:left w:val="none" w:sz="0" w:space="0" w:color="auto"/>
        <w:bottom w:val="none" w:sz="0" w:space="0" w:color="auto"/>
        <w:right w:val="none" w:sz="0" w:space="0" w:color="auto"/>
      </w:divBdr>
    </w:div>
    <w:div w:id="1901013402">
      <w:bodyDiv w:val="1"/>
      <w:marLeft w:val="0"/>
      <w:marRight w:val="0"/>
      <w:marTop w:val="0"/>
      <w:marBottom w:val="0"/>
      <w:divBdr>
        <w:top w:val="none" w:sz="0" w:space="0" w:color="auto"/>
        <w:left w:val="none" w:sz="0" w:space="0" w:color="auto"/>
        <w:bottom w:val="none" w:sz="0" w:space="0" w:color="auto"/>
        <w:right w:val="none" w:sz="0" w:space="0" w:color="auto"/>
      </w:divBdr>
    </w:div>
    <w:div w:id="20900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co.jp/ir/earnings/" TargetMode="External"/><Relationship Id="rId13" Type="http://schemas.openxmlformats.org/officeDocument/2006/relationships/hyperlink" Target="https://yomiuriland.co.jp/ir/library/library02.html" TargetMode="External"/><Relationship Id="rId18" Type="http://schemas.openxmlformats.org/officeDocument/2006/relationships/hyperlink" Target="https://www.yomiuriland.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miuriland.co.jp/ir/library/library02.html" TargetMode="External"/><Relationship Id="rId17" Type="http://schemas.openxmlformats.org/officeDocument/2006/relationships/hyperlink" Target="http://www.olc.co.jp/ja/index.html" TargetMode="External"/><Relationship Id="rId2" Type="http://schemas.openxmlformats.org/officeDocument/2006/relationships/numbering" Target="numbering.xml"/><Relationship Id="rId16" Type="http://schemas.openxmlformats.org/officeDocument/2006/relationships/hyperlink" Target="https://www.his-j.com/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c.co.jp/ja/ir/library/securities.html" TargetMode="External"/><Relationship Id="rId5" Type="http://schemas.openxmlformats.org/officeDocument/2006/relationships/webSettings" Target="webSettings.xml"/><Relationship Id="rId15" Type="http://schemas.openxmlformats.org/officeDocument/2006/relationships/hyperlink" Target="https://www.chusho.meti.go.jp/pamflet/hakusyo/" TargetMode="External"/><Relationship Id="rId10" Type="http://schemas.openxmlformats.org/officeDocument/2006/relationships/hyperlink" Target="http://www.olc.co.jp/ja/ir/library/financial.html" TargetMode="External"/><Relationship Id="rId19" Type="http://schemas.openxmlformats.org/officeDocument/2006/relationships/hyperlink" Target="https://www.chusho.meti.go.jp/" TargetMode="External"/><Relationship Id="rId4" Type="http://schemas.openxmlformats.org/officeDocument/2006/relationships/settings" Target="settings.xml"/><Relationship Id="rId9" Type="http://schemas.openxmlformats.org/officeDocument/2006/relationships/hyperlink" Target="https://www.his.co.jp/ir/securities/" TargetMode="External"/><Relationship Id="rId14" Type="http://schemas.openxmlformats.org/officeDocument/2006/relationships/hyperlink" Target="https://www.chusho.meti.go.jp/koukai/chousa/kih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9F9B9-5A4C-E842-B6F9-AFDE81BE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4054</TotalTime>
  <Pages>23</Pages>
  <Words>3519</Words>
  <Characters>20063</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mymelo-lovely.amour@outlook.jp</dc:creator>
  <cp:keywords/>
  <dc:description/>
  <cp:lastModifiedBy>中村 俊紀</cp:lastModifiedBy>
  <cp:revision>150</cp:revision>
  <cp:lastPrinted>2020-10-28T11:20:00Z</cp:lastPrinted>
  <dcterms:created xsi:type="dcterms:W3CDTF">2020-07-17T06:22:00Z</dcterms:created>
  <dcterms:modified xsi:type="dcterms:W3CDTF">2020-10-28T11:41:00Z</dcterms:modified>
</cp:coreProperties>
</file>